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D9A37A" w14:textId="6F2AF713" w:rsidR="00742C94" w:rsidRDefault="00742C94" w:rsidP="00742C94">
      <w:pPr>
        <w:jc w:val="center"/>
        <w:rPr>
          <w:rFonts w:cstheme="minorHAnsi"/>
          <w:b/>
          <w:bCs/>
          <w:sz w:val="24"/>
          <w:szCs w:val="24"/>
        </w:rPr>
      </w:pPr>
      <w:r w:rsidRPr="009D3599">
        <w:rPr>
          <w:noProof/>
        </w:rPr>
        <w:drawing>
          <wp:inline distT="0" distB="0" distL="0" distR="0" wp14:anchorId="472F323B" wp14:editId="78A6D713">
            <wp:extent cx="2466975" cy="447675"/>
            <wp:effectExtent l="0" t="0" r="9525" b="9525"/>
            <wp:docPr id="1" name="Slika 1"/>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466975" cy="447675"/>
                    </a:xfrm>
                    <a:prstGeom prst="rect">
                      <a:avLst/>
                    </a:prstGeom>
                    <a:noFill/>
                    <a:ln>
                      <a:noFill/>
                    </a:ln>
                  </pic:spPr>
                </pic:pic>
              </a:graphicData>
            </a:graphic>
          </wp:inline>
        </w:drawing>
      </w:r>
    </w:p>
    <w:p w14:paraId="01D4058B" w14:textId="77777777" w:rsidR="00742C94" w:rsidRPr="00273467" w:rsidRDefault="00742C94" w:rsidP="00742C94">
      <w:pPr>
        <w:keepNext/>
        <w:spacing w:after="0" w:line="240" w:lineRule="auto"/>
        <w:jc w:val="center"/>
        <w:outlineLvl w:val="4"/>
        <w:rPr>
          <w:rFonts w:ascii="Arial" w:eastAsia="Times New Roman" w:hAnsi="Arial" w:cs="Arial"/>
          <w:b/>
          <w:bCs/>
          <w:lang w:eastAsia="sl-SI"/>
        </w:rPr>
      </w:pPr>
      <w:r w:rsidRPr="00273467">
        <w:rPr>
          <w:rFonts w:ascii="Arial" w:eastAsia="Times New Roman" w:hAnsi="Arial" w:cs="Arial"/>
          <w:b/>
          <w:bCs/>
          <w:lang w:eastAsia="sl-SI"/>
        </w:rPr>
        <w:t>PETKA PUŠNJAK IN PUŠNJAK d.n.o.</w:t>
      </w:r>
    </w:p>
    <w:p w14:paraId="3DE54BC9" w14:textId="77777777" w:rsidR="00742C94" w:rsidRPr="00273467" w:rsidRDefault="00742C94" w:rsidP="00742C94">
      <w:pPr>
        <w:spacing w:after="0" w:line="240" w:lineRule="auto"/>
        <w:jc w:val="center"/>
        <w:rPr>
          <w:rFonts w:ascii="Arial" w:eastAsia="Times New Roman" w:hAnsi="Arial" w:cs="Arial"/>
          <w:sz w:val="20"/>
          <w:szCs w:val="20"/>
          <w:lang w:eastAsia="sl-SI"/>
        </w:rPr>
      </w:pPr>
      <w:r w:rsidRPr="00273467">
        <w:rPr>
          <w:rFonts w:ascii="Arial" w:eastAsia="Times New Roman" w:hAnsi="Arial" w:cs="Arial"/>
          <w:sz w:val="20"/>
          <w:szCs w:val="20"/>
          <w:lang w:eastAsia="sl-SI"/>
        </w:rPr>
        <w:t xml:space="preserve">Trg Alfonza Šarha 1, 2310 Slovenska Bistrica, tel.: 02 818 1111, fax: 02 8181 175, </w:t>
      </w:r>
    </w:p>
    <w:p w14:paraId="209930E5" w14:textId="77777777" w:rsidR="00742C94" w:rsidRPr="00273467" w:rsidRDefault="00742C94" w:rsidP="00742C94">
      <w:pPr>
        <w:tabs>
          <w:tab w:val="left" w:pos="1815"/>
          <w:tab w:val="center" w:pos="4536"/>
        </w:tabs>
        <w:spacing w:after="0" w:line="240" w:lineRule="auto"/>
        <w:rPr>
          <w:rFonts w:ascii="Arial" w:eastAsia="Times New Roman" w:hAnsi="Arial" w:cs="Arial"/>
          <w:sz w:val="20"/>
          <w:szCs w:val="20"/>
          <w:lang w:eastAsia="sl-SI"/>
        </w:rPr>
      </w:pPr>
      <w:r w:rsidRPr="00273467">
        <w:rPr>
          <w:rFonts w:ascii="Arial" w:eastAsia="Times New Roman" w:hAnsi="Arial" w:cs="Arial"/>
          <w:sz w:val="20"/>
          <w:szCs w:val="20"/>
          <w:lang w:eastAsia="sl-SI"/>
        </w:rPr>
        <w:tab/>
      </w:r>
      <w:r w:rsidRPr="00273467">
        <w:rPr>
          <w:rFonts w:ascii="Arial" w:eastAsia="Times New Roman" w:hAnsi="Arial" w:cs="Arial"/>
          <w:sz w:val="20"/>
          <w:szCs w:val="20"/>
          <w:lang w:eastAsia="sl-SI"/>
        </w:rPr>
        <w:tab/>
        <w:t>e-mail: rs.petka@siol.net, spletna stran: www.petka.si</w:t>
      </w:r>
    </w:p>
    <w:p w14:paraId="2FF587A0" w14:textId="77777777" w:rsidR="00742C94" w:rsidRPr="00273467" w:rsidRDefault="00742C94" w:rsidP="00742C94">
      <w:pPr>
        <w:pBdr>
          <w:bottom w:val="single" w:sz="6" w:space="1" w:color="auto"/>
        </w:pBdr>
        <w:spacing w:after="0" w:line="240" w:lineRule="auto"/>
        <w:jc w:val="center"/>
        <w:rPr>
          <w:rFonts w:ascii="Arial" w:eastAsia="Times New Roman" w:hAnsi="Arial" w:cs="Arial"/>
          <w:b/>
          <w:bCs/>
          <w:sz w:val="20"/>
          <w:szCs w:val="20"/>
          <w:lang w:eastAsia="sl-SI"/>
        </w:rPr>
      </w:pPr>
      <w:r w:rsidRPr="00273467">
        <w:rPr>
          <w:rFonts w:ascii="Arial" w:eastAsia="Times New Roman" w:hAnsi="Arial" w:cs="Arial"/>
          <w:b/>
          <w:bCs/>
          <w:sz w:val="20"/>
          <w:szCs w:val="20"/>
          <w:lang w:eastAsia="sl-SI"/>
        </w:rPr>
        <w:t>Računovodske storitve, davčno in poslovno svetovanje</w:t>
      </w:r>
    </w:p>
    <w:p w14:paraId="5E559514" w14:textId="77777777" w:rsidR="00742C94" w:rsidRDefault="00742C94" w:rsidP="00742C94">
      <w:pPr>
        <w:jc w:val="center"/>
        <w:rPr>
          <w:rFonts w:cstheme="minorHAnsi"/>
          <w:b/>
          <w:bCs/>
          <w:sz w:val="24"/>
          <w:szCs w:val="24"/>
        </w:rPr>
      </w:pPr>
    </w:p>
    <w:p w14:paraId="1B05C0BD" w14:textId="77777777" w:rsidR="00742C94" w:rsidRDefault="00742C94" w:rsidP="00284645">
      <w:pPr>
        <w:jc w:val="center"/>
        <w:rPr>
          <w:rFonts w:cstheme="minorHAnsi"/>
          <w:b/>
          <w:bCs/>
          <w:sz w:val="24"/>
          <w:szCs w:val="24"/>
        </w:rPr>
      </w:pPr>
    </w:p>
    <w:p w14:paraId="0C854823" w14:textId="690FB7A9" w:rsidR="00473654" w:rsidRPr="00375D5A" w:rsidRDefault="00964E01" w:rsidP="00284645">
      <w:pPr>
        <w:jc w:val="center"/>
        <w:rPr>
          <w:rFonts w:cstheme="minorHAnsi"/>
          <w:b/>
          <w:bCs/>
          <w:sz w:val="24"/>
          <w:szCs w:val="24"/>
        </w:rPr>
      </w:pPr>
      <w:r w:rsidRPr="00375D5A">
        <w:rPr>
          <w:rFonts w:cstheme="minorHAnsi"/>
          <w:b/>
          <w:bCs/>
          <w:sz w:val="24"/>
          <w:szCs w:val="24"/>
        </w:rPr>
        <w:t>SPREMEMBE ZAKONA O DAVKU OD DOHODKOV PRAVNIH OSEB</w:t>
      </w:r>
      <w:r w:rsidR="001C760F">
        <w:rPr>
          <w:rFonts w:cstheme="minorHAnsi"/>
          <w:b/>
          <w:bCs/>
          <w:sz w:val="24"/>
          <w:szCs w:val="24"/>
        </w:rPr>
        <w:t xml:space="preserve"> -</w:t>
      </w:r>
      <w:r w:rsidR="00284645" w:rsidRPr="00375D5A">
        <w:rPr>
          <w:rFonts w:cstheme="minorHAnsi"/>
          <w:b/>
          <w:bCs/>
          <w:sz w:val="24"/>
          <w:szCs w:val="24"/>
        </w:rPr>
        <w:t xml:space="preserve"> ZDDPO-2R</w:t>
      </w:r>
    </w:p>
    <w:p w14:paraId="029E749F" w14:textId="1FB0F6B1" w:rsidR="00284645" w:rsidRPr="00375D5A" w:rsidRDefault="00284645" w:rsidP="001C760F">
      <w:r w:rsidRPr="00375D5A">
        <w:t>V Uradnem listu Republike Slovenije, št. 66/2019, z dne 5.11.2019, je bil objavljen Zakon o</w:t>
      </w:r>
      <w:r w:rsidR="001C760F">
        <w:t xml:space="preserve"> s</w:t>
      </w:r>
      <w:r w:rsidRPr="00375D5A">
        <w:t xml:space="preserve">premembah in dopolnitvah Zakona davku od dohodkov pravnih oseb (novela ZDDPO-2R), ki začne veljati naslednji dan po objavi v Uradnem listu, uporabljati pa se začne 1. januarja 2020, razen novega devetega odstavka 33. člena zakona (poslovni najem), ki se uporablja od 1. Januarja 2019, in novega 59.a člena zakona (omejitev zmanjšanja davčne osnove), ki se uporablja za davčna obdobja, ki se začnejo 1. januarja 2020 ali kasneje. </w:t>
      </w:r>
    </w:p>
    <w:p w14:paraId="13ECA013" w14:textId="1113F353" w:rsidR="00284645" w:rsidRPr="00375D5A" w:rsidRDefault="00284645" w:rsidP="00284645">
      <w:pPr>
        <w:autoSpaceDE w:val="0"/>
        <w:autoSpaceDN w:val="0"/>
        <w:adjustRightInd w:val="0"/>
        <w:spacing w:after="0" w:line="240" w:lineRule="auto"/>
        <w:rPr>
          <w:rFonts w:cstheme="minorHAnsi"/>
          <w:sz w:val="24"/>
          <w:szCs w:val="24"/>
        </w:rPr>
      </w:pPr>
      <w:r w:rsidRPr="00375D5A">
        <w:rPr>
          <w:rFonts w:cstheme="minorHAnsi"/>
          <w:sz w:val="24"/>
          <w:szCs w:val="24"/>
        </w:rPr>
        <w:t xml:space="preserve">V nadaljevanju </w:t>
      </w:r>
      <w:r w:rsidR="001C760F">
        <w:rPr>
          <w:rFonts w:cstheme="minorHAnsi"/>
          <w:sz w:val="24"/>
          <w:szCs w:val="24"/>
        </w:rPr>
        <w:t xml:space="preserve">bomo preučili nekaj bistvenih </w:t>
      </w:r>
      <w:r w:rsidRPr="00375D5A">
        <w:rPr>
          <w:rFonts w:cstheme="minorHAnsi"/>
          <w:sz w:val="24"/>
          <w:szCs w:val="24"/>
        </w:rPr>
        <w:t>novosti, ki jih prinaša novela ZDDPO-2R.</w:t>
      </w:r>
    </w:p>
    <w:p w14:paraId="1EF0573A" w14:textId="77777777" w:rsidR="00284645" w:rsidRPr="00375D5A" w:rsidRDefault="00284645" w:rsidP="00284645">
      <w:pPr>
        <w:autoSpaceDE w:val="0"/>
        <w:autoSpaceDN w:val="0"/>
        <w:adjustRightInd w:val="0"/>
        <w:spacing w:after="0" w:line="240" w:lineRule="auto"/>
        <w:rPr>
          <w:rFonts w:cstheme="minorHAnsi"/>
          <w:sz w:val="24"/>
          <w:szCs w:val="24"/>
        </w:rPr>
      </w:pPr>
    </w:p>
    <w:p w14:paraId="77C5C81A" w14:textId="3D4BED8D" w:rsidR="00284645" w:rsidRPr="00375D5A" w:rsidRDefault="001C760F" w:rsidP="00284645">
      <w:pPr>
        <w:autoSpaceDE w:val="0"/>
        <w:autoSpaceDN w:val="0"/>
        <w:adjustRightInd w:val="0"/>
        <w:spacing w:after="0" w:line="240" w:lineRule="auto"/>
        <w:rPr>
          <w:rFonts w:cstheme="minorHAnsi"/>
          <w:b/>
          <w:bCs/>
          <w:sz w:val="24"/>
          <w:szCs w:val="24"/>
        </w:rPr>
      </w:pPr>
      <w:r>
        <w:rPr>
          <w:rFonts w:cstheme="minorHAnsi"/>
          <w:b/>
          <w:bCs/>
          <w:sz w:val="24"/>
          <w:szCs w:val="24"/>
        </w:rPr>
        <w:t>01</w:t>
      </w:r>
      <w:r w:rsidR="00284645" w:rsidRPr="00375D5A">
        <w:rPr>
          <w:rFonts w:cstheme="minorHAnsi"/>
          <w:b/>
          <w:bCs/>
          <w:sz w:val="24"/>
          <w:szCs w:val="24"/>
        </w:rPr>
        <w:t>. Sprememba obravnave sredstva vzetega v poslovni najem (2. člen ZDDPO-2R)</w:t>
      </w:r>
    </w:p>
    <w:p w14:paraId="2A2337C4" w14:textId="15C4761F" w:rsidR="00284645" w:rsidRPr="00375D5A" w:rsidRDefault="00284645" w:rsidP="00284645">
      <w:pPr>
        <w:autoSpaceDE w:val="0"/>
        <w:autoSpaceDN w:val="0"/>
        <w:adjustRightInd w:val="0"/>
        <w:spacing w:after="0" w:line="240" w:lineRule="auto"/>
        <w:rPr>
          <w:rFonts w:cstheme="minorHAnsi"/>
          <w:sz w:val="24"/>
          <w:szCs w:val="24"/>
        </w:rPr>
      </w:pPr>
      <w:r w:rsidRPr="00375D5A">
        <w:rPr>
          <w:rFonts w:cstheme="minorHAnsi"/>
          <w:sz w:val="24"/>
          <w:szCs w:val="24"/>
        </w:rPr>
        <w:t>Na podlagi računovodskih pravil (MSRP in SRS) najemnik pripozna sredstvo, vzeto v poslovni najem, kot sredstvo, ki predstavlja pravico do uporabe. To sredstvo se pri najemniku amortizira od datuma začetka najema do konca njegove dobe koristnosti oziroma do konca trajanja najema, če je krajše od dobe koristnosti sredstva. Dopolnjen 33. člen ZDDPO-2 določa, da se ne glede na najvišje letne amortizacijske stopnje za posamezne vrste sredstev, ki jih določa peti odstavek tega člena, za sredstvo, vzeto v poslovni najem, uporabi najvišja letna amortizacijska stopnja, ki ustreza dejanski amortizacijski dobi tega sredstva, določeni po računovodskih pravilih. Navedeno torej pomeni, da najemnik upošteva bodisi dobo od datuma začetka najema do konca dobe koristnosti bodisi dobo trajanja najema sredstva, ki predstavlja pravico do uporabe. Pri tem se za ugotavljanje davčno priznanih odhodkov v skladu s prvim odstavkom 33. člena ZDDPO-2 uporabi metoda</w:t>
      </w:r>
      <w:r w:rsidR="00073F3D">
        <w:rPr>
          <w:rFonts w:cstheme="minorHAnsi"/>
          <w:sz w:val="24"/>
          <w:szCs w:val="24"/>
        </w:rPr>
        <w:t xml:space="preserve"> </w:t>
      </w:r>
      <w:r w:rsidRPr="00375D5A">
        <w:rPr>
          <w:rFonts w:cstheme="minorHAnsi"/>
          <w:sz w:val="24"/>
          <w:szCs w:val="24"/>
        </w:rPr>
        <w:t>enakomernega časovnega amortiziranja. V praksi se bo tako priznavanje odhodkov iz naslova najemnin za davčne namene v posameznih davčnih obdobjih približalo dejanskim najemninam v teh obdobjih.</w:t>
      </w:r>
    </w:p>
    <w:p w14:paraId="716FD842" w14:textId="7C0A3AAD" w:rsidR="00284645" w:rsidRDefault="00284645" w:rsidP="00284645">
      <w:pPr>
        <w:autoSpaceDE w:val="0"/>
        <w:autoSpaceDN w:val="0"/>
        <w:adjustRightInd w:val="0"/>
        <w:spacing w:after="0" w:line="240" w:lineRule="auto"/>
        <w:rPr>
          <w:rFonts w:cstheme="minorHAnsi"/>
          <w:sz w:val="24"/>
          <w:szCs w:val="24"/>
        </w:rPr>
      </w:pPr>
    </w:p>
    <w:p w14:paraId="2F7A0A84" w14:textId="77A71CC1" w:rsidR="00390CAB" w:rsidRPr="00390CAB" w:rsidRDefault="00390CAB" w:rsidP="00284645">
      <w:pPr>
        <w:autoSpaceDE w:val="0"/>
        <w:autoSpaceDN w:val="0"/>
        <w:adjustRightInd w:val="0"/>
        <w:spacing w:after="0" w:line="240" w:lineRule="auto"/>
        <w:rPr>
          <w:rFonts w:cstheme="minorHAnsi"/>
          <w:sz w:val="24"/>
          <w:szCs w:val="24"/>
          <w:highlight w:val="yellow"/>
        </w:rPr>
      </w:pPr>
      <w:r w:rsidRPr="00390CAB">
        <w:rPr>
          <w:rFonts w:cstheme="minorHAnsi"/>
          <w:sz w:val="24"/>
          <w:szCs w:val="24"/>
          <w:highlight w:val="yellow"/>
        </w:rPr>
        <w:t>POJASNILA:</w:t>
      </w:r>
    </w:p>
    <w:p w14:paraId="6106FD1D" w14:textId="324BF7F7" w:rsidR="00390CAB" w:rsidRPr="00390CAB" w:rsidRDefault="00390CAB" w:rsidP="00284645">
      <w:pPr>
        <w:autoSpaceDE w:val="0"/>
        <w:autoSpaceDN w:val="0"/>
        <w:adjustRightInd w:val="0"/>
        <w:spacing w:after="0" w:line="240" w:lineRule="auto"/>
        <w:rPr>
          <w:rFonts w:ascii="Calibri" w:hAnsi="Calibri" w:cs="Calibri"/>
          <w:color w:val="262626" w:themeColor="text1" w:themeTint="D9"/>
          <w:spacing w:val="3"/>
          <w:sz w:val="24"/>
          <w:szCs w:val="24"/>
          <w:highlight w:val="yellow"/>
          <w:shd w:val="clear" w:color="auto" w:fill="FFFFFF"/>
        </w:rPr>
      </w:pPr>
      <w:r w:rsidRPr="00390CAB">
        <w:rPr>
          <w:rFonts w:ascii="Calibri" w:hAnsi="Calibri" w:cs="Calibri"/>
          <w:color w:val="262626" w:themeColor="text1" w:themeTint="D9"/>
          <w:spacing w:val="3"/>
          <w:sz w:val="24"/>
          <w:szCs w:val="24"/>
          <w:highlight w:val="yellow"/>
          <w:shd w:val="clear" w:color="auto" w:fill="FFFFFF"/>
        </w:rPr>
        <w:t>Po 1. 1. 2019 bodo najemniki sredstva v dolgoročnem najemu izkazovali med svojimi sredstvi, torej se jim povečuje aktiva. Istočasno bodo izkazovali celoten dolg iz pogodbe, kar pomeni višjo pasivo oziroma dolgoročne obveznosti. Strošek najema bo poleg tega treba na novo preračunati ter ga uvrstiti med stroške amortizacije in stroške obresti. Praktično to pomeni, da gre na dolgi rok za enak strošek, ki se je po starem vodil kot strošek najema, po novem pa kot strošek amortizacije in obresti.</w:t>
      </w:r>
    </w:p>
    <w:p w14:paraId="27748EC1" w14:textId="53904274" w:rsidR="00390CAB" w:rsidRPr="00390CAB" w:rsidRDefault="00390CAB" w:rsidP="00284645">
      <w:pPr>
        <w:autoSpaceDE w:val="0"/>
        <w:autoSpaceDN w:val="0"/>
        <w:adjustRightInd w:val="0"/>
        <w:spacing w:after="0" w:line="240" w:lineRule="auto"/>
        <w:rPr>
          <w:rFonts w:ascii="Calibri" w:hAnsi="Calibri" w:cs="Calibri"/>
          <w:color w:val="262626" w:themeColor="text1" w:themeTint="D9"/>
          <w:sz w:val="24"/>
          <w:szCs w:val="24"/>
        </w:rPr>
      </w:pPr>
      <w:r w:rsidRPr="00390CAB">
        <w:rPr>
          <w:rFonts w:ascii="Calibri" w:hAnsi="Calibri" w:cs="Calibri"/>
          <w:color w:val="262626" w:themeColor="text1" w:themeTint="D9"/>
          <w:spacing w:val="3"/>
          <w:sz w:val="24"/>
          <w:szCs w:val="24"/>
          <w:highlight w:val="yellow"/>
          <w:shd w:val="clear" w:color="auto" w:fill="FFFFFF"/>
        </w:rPr>
        <w:t>Novost velja za dolgoročne najeme, kjer je čas najema več kot 1 leto in za najeta sredstva višje vrednosti oziroma za vrednost več kot 10.000 EUR. Pozor, pri vrednotenju predmeta najema se upošteva vrednost novega sredstva! Nova določila za poslovne najeme so obvezna za srednje in velike družbe in druge organizacije. Uvajajo se tudi </w:t>
      </w:r>
      <w:r w:rsidRPr="00390CAB">
        <w:rPr>
          <w:rStyle w:val="Krepko"/>
          <w:rFonts w:ascii="Calibri" w:hAnsi="Calibri" w:cs="Calibri"/>
          <w:color w:val="262626" w:themeColor="text1" w:themeTint="D9"/>
          <w:spacing w:val="3"/>
          <w:sz w:val="24"/>
          <w:szCs w:val="24"/>
          <w:highlight w:val="yellow"/>
          <w:bdr w:val="none" w:sz="0" w:space="0" w:color="auto" w:frame="1"/>
          <w:shd w:val="clear" w:color="auto" w:fill="FFFFFF"/>
        </w:rPr>
        <w:t>najemi majhnih</w:t>
      </w:r>
      <w:r w:rsidRPr="00390CAB">
        <w:rPr>
          <w:rFonts w:ascii="Calibri" w:hAnsi="Calibri" w:cs="Calibri"/>
          <w:color w:val="262626" w:themeColor="text1" w:themeTint="D9"/>
          <w:spacing w:val="3"/>
          <w:sz w:val="24"/>
          <w:szCs w:val="24"/>
          <w:highlight w:val="yellow"/>
          <w:shd w:val="clear" w:color="auto" w:fill="FFFFFF"/>
        </w:rPr>
        <w:t> </w:t>
      </w:r>
      <w:r w:rsidRPr="00390CAB">
        <w:rPr>
          <w:rStyle w:val="Krepko"/>
          <w:rFonts w:ascii="Calibri" w:hAnsi="Calibri" w:cs="Calibri"/>
          <w:color w:val="262626" w:themeColor="text1" w:themeTint="D9"/>
          <w:spacing w:val="3"/>
          <w:sz w:val="24"/>
          <w:szCs w:val="24"/>
          <w:highlight w:val="yellow"/>
          <w:bdr w:val="none" w:sz="0" w:space="0" w:color="auto" w:frame="1"/>
          <w:shd w:val="clear" w:color="auto" w:fill="FFFFFF"/>
        </w:rPr>
        <w:t>vrednost</w:t>
      </w:r>
      <w:r w:rsidRPr="00390CAB">
        <w:rPr>
          <w:rFonts w:ascii="Calibri" w:hAnsi="Calibri" w:cs="Calibri"/>
          <w:color w:val="262626" w:themeColor="text1" w:themeTint="D9"/>
          <w:spacing w:val="3"/>
          <w:sz w:val="24"/>
          <w:szCs w:val="24"/>
          <w:highlight w:val="yellow"/>
          <w:shd w:val="clear" w:color="auto" w:fill="FFFFFF"/>
        </w:rPr>
        <w:t>i, to je najem, katerega vrednost znaša do 10.000,00 EUR in se v poslovnih knjigah ne pripoznava po novi ureditvi.</w:t>
      </w:r>
    </w:p>
    <w:p w14:paraId="0F36F477" w14:textId="77777777" w:rsidR="00284645" w:rsidRPr="00390CAB" w:rsidRDefault="00284645" w:rsidP="00284645">
      <w:pPr>
        <w:autoSpaceDE w:val="0"/>
        <w:autoSpaceDN w:val="0"/>
        <w:adjustRightInd w:val="0"/>
        <w:spacing w:after="0" w:line="240" w:lineRule="auto"/>
        <w:rPr>
          <w:rFonts w:ascii="Calibri" w:hAnsi="Calibri" w:cs="Calibri"/>
          <w:sz w:val="24"/>
          <w:szCs w:val="24"/>
        </w:rPr>
      </w:pPr>
    </w:p>
    <w:p w14:paraId="3F01E29A" w14:textId="0518ECC7" w:rsidR="00284645" w:rsidRPr="00375D5A" w:rsidRDefault="001C760F" w:rsidP="00284645">
      <w:pPr>
        <w:autoSpaceDE w:val="0"/>
        <w:autoSpaceDN w:val="0"/>
        <w:adjustRightInd w:val="0"/>
        <w:spacing w:after="0" w:line="240" w:lineRule="auto"/>
        <w:rPr>
          <w:rFonts w:cstheme="minorHAnsi"/>
          <w:b/>
          <w:bCs/>
          <w:sz w:val="24"/>
          <w:szCs w:val="24"/>
        </w:rPr>
      </w:pPr>
      <w:r>
        <w:rPr>
          <w:rFonts w:cstheme="minorHAnsi"/>
          <w:b/>
          <w:bCs/>
          <w:sz w:val="24"/>
          <w:szCs w:val="24"/>
        </w:rPr>
        <w:t>02.</w:t>
      </w:r>
      <w:r w:rsidR="00284645" w:rsidRPr="00375D5A">
        <w:rPr>
          <w:rFonts w:cstheme="minorHAnsi"/>
          <w:b/>
          <w:bCs/>
          <w:sz w:val="24"/>
          <w:szCs w:val="24"/>
        </w:rPr>
        <w:t xml:space="preserve"> Uvedba omejitve zmanjšanja davčne osnove zaradi uveljavljanja davčnih olajšav in pokrivanja davčne izgube (4. člen ZDDPO-2R)</w:t>
      </w:r>
    </w:p>
    <w:p w14:paraId="78DD6BAB" w14:textId="77777777" w:rsidR="00284645" w:rsidRPr="00375D5A" w:rsidRDefault="00284645" w:rsidP="00284645">
      <w:pPr>
        <w:autoSpaceDE w:val="0"/>
        <w:autoSpaceDN w:val="0"/>
        <w:adjustRightInd w:val="0"/>
        <w:spacing w:after="0" w:line="240" w:lineRule="auto"/>
        <w:rPr>
          <w:rFonts w:cstheme="minorHAnsi"/>
          <w:b/>
          <w:bCs/>
          <w:sz w:val="24"/>
          <w:szCs w:val="24"/>
        </w:rPr>
      </w:pPr>
    </w:p>
    <w:p w14:paraId="0D2D3281" w14:textId="3CEB8531" w:rsidR="00284645" w:rsidRDefault="00284645" w:rsidP="00284645">
      <w:pPr>
        <w:autoSpaceDE w:val="0"/>
        <w:autoSpaceDN w:val="0"/>
        <w:adjustRightInd w:val="0"/>
        <w:spacing w:after="0" w:line="240" w:lineRule="auto"/>
        <w:rPr>
          <w:rFonts w:cstheme="minorHAnsi"/>
          <w:sz w:val="24"/>
          <w:szCs w:val="24"/>
        </w:rPr>
      </w:pPr>
      <w:r w:rsidRPr="00375D5A">
        <w:rPr>
          <w:rFonts w:cstheme="minorHAnsi"/>
          <w:sz w:val="24"/>
          <w:szCs w:val="24"/>
        </w:rPr>
        <w:t>Zmanjšanje davčne osnove je v davčnem obdobju omejeno na 63 % davčne osnove. V seštevku so upoštevane tudi davčne olajšave in spodbude, določene v drugih zakonih (Zakon o spodbujanju skladnega regionalnega razvoja (Uradni list RS, št. 20/11, 57/12 in 46/16), Zakon o razvojni podpori Pomurski regiji v obdobju 2010–2019 (Uradni list RS, št. 87/09, 82/15 in 27/17) in Zakon o udeležbi delavcev pri dobičku (Uradni list RS, št. 25/08)), ki zmanjšujejo davčno osnovo po tem zakonu. V seštevku so prav tako upoštevani zneski uveljavljanja neizkoriščenih delov davčnih</w:t>
      </w:r>
      <w:r w:rsidR="001C760F">
        <w:rPr>
          <w:rFonts w:cstheme="minorHAnsi"/>
          <w:sz w:val="24"/>
          <w:szCs w:val="24"/>
        </w:rPr>
        <w:t xml:space="preserve"> </w:t>
      </w:r>
      <w:r w:rsidRPr="00375D5A">
        <w:rPr>
          <w:rFonts w:cstheme="minorHAnsi"/>
          <w:sz w:val="24"/>
          <w:szCs w:val="24"/>
        </w:rPr>
        <w:t>olajšav iz preteklih davčnih obdobij.</w:t>
      </w:r>
    </w:p>
    <w:p w14:paraId="32616C16" w14:textId="5E7C662D" w:rsidR="00390CAB" w:rsidRDefault="00390CAB" w:rsidP="00284645">
      <w:pPr>
        <w:autoSpaceDE w:val="0"/>
        <w:autoSpaceDN w:val="0"/>
        <w:adjustRightInd w:val="0"/>
        <w:spacing w:after="0" w:line="240" w:lineRule="auto"/>
        <w:rPr>
          <w:rFonts w:cstheme="minorHAnsi"/>
          <w:sz w:val="24"/>
          <w:szCs w:val="24"/>
        </w:rPr>
      </w:pPr>
    </w:p>
    <w:p w14:paraId="6D09F39A" w14:textId="249C6162" w:rsidR="00390CAB" w:rsidRPr="00390CAB" w:rsidRDefault="00390CAB" w:rsidP="00390CAB">
      <w:pPr>
        <w:pStyle w:val="Navadensplet"/>
        <w:shd w:val="clear" w:color="auto" w:fill="FFFFFF"/>
        <w:spacing w:before="0" w:beforeAutospacing="0" w:after="240" w:afterAutospacing="0"/>
        <w:jc w:val="both"/>
        <w:rPr>
          <w:rFonts w:ascii="Calibri" w:hAnsi="Calibri" w:cs="Calibri"/>
          <w:color w:val="222A35" w:themeColor="text2" w:themeShade="80"/>
          <w:highlight w:val="yellow"/>
        </w:rPr>
      </w:pPr>
      <w:r w:rsidRPr="00390CAB">
        <w:rPr>
          <w:rFonts w:ascii="Calibri" w:hAnsi="Calibri" w:cs="Calibri"/>
          <w:color w:val="222A35" w:themeColor="text2" w:themeShade="80"/>
          <w:highlight w:val="yellow"/>
        </w:rPr>
        <w:t>PRIMER:</w:t>
      </w:r>
    </w:p>
    <w:p w14:paraId="31D34233" w14:textId="20E4ADBB" w:rsidR="00390CAB" w:rsidRPr="00390CAB" w:rsidRDefault="00390CAB" w:rsidP="00390CAB">
      <w:pPr>
        <w:rPr>
          <w:highlight w:val="yellow"/>
        </w:rPr>
      </w:pPr>
      <w:r w:rsidRPr="00390CAB">
        <w:rPr>
          <w:highlight w:val="yellow"/>
        </w:rPr>
        <w:t>Podjetje ima v letu 2020 davčno osnovo 100.000 €. V raziskave in razvoj je v letu 2020 investiralo</w:t>
      </w:r>
      <w:r w:rsidRPr="00390CAB">
        <w:rPr>
          <w:highlight w:val="yellow"/>
        </w:rPr>
        <w:br/>
        <w:t>150.000 €. Podjetje lahko upošteva dejansko davčno olajšavo za investiranje v raziskave in razvo</w:t>
      </w:r>
      <w:r w:rsidR="00272B67">
        <w:rPr>
          <w:highlight w:val="yellow"/>
        </w:rPr>
        <w:t>j</w:t>
      </w:r>
      <w:r w:rsidRPr="00390CAB">
        <w:rPr>
          <w:highlight w:val="yellow"/>
        </w:rPr>
        <w:t xml:space="preserve"> le v</w:t>
      </w:r>
      <w:r w:rsidRPr="00390CAB">
        <w:rPr>
          <w:highlight w:val="yellow"/>
        </w:rPr>
        <w:br/>
        <w:t>višini 63.000 €, razliko pa v naslednjih 5 letih.</w:t>
      </w:r>
    </w:p>
    <w:p w14:paraId="109F5DB2" w14:textId="43CBFEEA" w:rsidR="00390CAB" w:rsidRPr="00390CAB" w:rsidRDefault="00390CAB" w:rsidP="00390CAB">
      <w:pPr>
        <w:rPr>
          <w:highlight w:val="yellow"/>
        </w:rPr>
      </w:pPr>
      <w:r w:rsidRPr="00390CAB">
        <w:rPr>
          <w:highlight w:val="yellow"/>
        </w:rPr>
        <w:t>Davčna osnova je v tem primeru 37.000 € (100.000 – 63.000), davčna obveznost pa 7.030 € (19%).</w:t>
      </w:r>
    </w:p>
    <w:p w14:paraId="4CDA2DDC" w14:textId="7E559153" w:rsidR="00390CAB" w:rsidRPr="00390CAB" w:rsidRDefault="00390CAB" w:rsidP="00390CAB">
      <w:pPr>
        <w:pStyle w:val="Navadensplet"/>
        <w:shd w:val="clear" w:color="auto" w:fill="FFFFFF"/>
        <w:spacing w:before="0" w:beforeAutospacing="0" w:after="240" w:afterAutospacing="0"/>
        <w:jc w:val="both"/>
        <w:rPr>
          <w:rFonts w:ascii="Calibri" w:hAnsi="Calibri" w:cs="Calibri"/>
          <w:color w:val="222A35" w:themeColor="text2" w:themeShade="80"/>
        </w:rPr>
      </w:pPr>
      <w:r w:rsidRPr="00390CAB">
        <w:rPr>
          <w:rFonts w:ascii="Calibri" w:hAnsi="Calibri" w:cs="Calibri"/>
          <w:color w:val="222A35" w:themeColor="text2" w:themeShade="80"/>
          <w:highlight w:val="yellow"/>
        </w:rPr>
        <w:t>V kolikor bi se v letu 2019 zgodil enak scenarij (pred davčnimi spremembami), podjetje ne bi plačalo davka, saj bi lahko celo davčno osnovo pokrili z olajšavo za raziskave in razvoj.</w:t>
      </w:r>
    </w:p>
    <w:p w14:paraId="6568B28C" w14:textId="77777777" w:rsidR="00390CAB" w:rsidRPr="00375D5A" w:rsidRDefault="00390CAB" w:rsidP="00284645">
      <w:pPr>
        <w:autoSpaceDE w:val="0"/>
        <w:autoSpaceDN w:val="0"/>
        <w:adjustRightInd w:val="0"/>
        <w:spacing w:after="0" w:line="240" w:lineRule="auto"/>
        <w:rPr>
          <w:rFonts w:cstheme="minorHAnsi"/>
          <w:sz w:val="24"/>
          <w:szCs w:val="24"/>
        </w:rPr>
      </w:pPr>
    </w:p>
    <w:p w14:paraId="0009F1FE" w14:textId="77777777" w:rsidR="00284645" w:rsidRPr="00375D5A" w:rsidRDefault="00284645" w:rsidP="00284645">
      <w:pPr>
        <w:autoSpaceDE w:val="0"/>
        <w:autoSpaceDN w:val="0"/>
        <w:adjustRightInd w:val="0"/>
        <w:spacing w:after="0" w:line="240" w:lineRule="auto"/>
        <w:rPr>
          <w:rFonts w:cstheme="minorHAnsi"/>
          <w:sz w:val="24"/>
          <w:szCs w:val="24"/>
        </w:rPr>
      </w:pPr>
    </w:p>
    <w:p w14:paraId="09B9BA9E" w14:textId="77777777" w:rsidR="00284645" w:rsidRPr="00375D5A" w:rsidRDefault="00284645" w:rsidP="00284645">
      <w:pPr>
        <w:autoSpaceDE w:val="0"/>
        <w:autoSpaceDN w:val="0"/>
        <w:adjustRightInd w:val="0"/>
        <w:spacing w:after="0" w:line="240" w:lineRule="auto"/>
        <w:rPr>
          <w:rFonts w:cstheme="minorHAnsi"/>
          <w:b/>
          <w:bCs/>
          <w:sz w:val="24"/>
          <w:szCs w:val="24"/>
        </w:rPr>
      </w:pPr>
      <w:r w:rsidRPr="00375D5A">
        <w:rPr>
          <w:rFonts w:cstheme="minorHAnsi"/>
          <w:b/>
          <w:bCs/>
          <w:sz w:val="24"/>
          <w:szCs w:val="24"/>
        </w:rPr>
        <w:t>V. Začetek veljavnosti in uporabe ZDDPO-2R (6. člen ZDDPO-2R)</w:t>
      </w:r>
    </w:p>
    <w:p w14:paraId="416DFD38" w14:textId="74440A2B" w:rsidR="00284645" w:rsidRPr="00375D5A" w:rsidRDefault="00284645" w:rsidP="00284645">
      <w:pPr>
        <w:autoSpaceDE w:val="0"/>
        <w:autoSpaceDN w:val="0"/>
        <w:adjustRightInd w:val="0"/>
        <w:spacing w:after="0" w:line="240" w:lineRule="auto"/>
        <w:rPr>
          <w:rFonts w:cstheme="minorHAnsi"/>
          <w:sz w:val="24"/>
          <w:szCs w:val="24"/>
        </w:rPr>
      </w:pPr>
      <w:r w:rsidRPr="00375D5A">
        <w:rPr>
          <w:rFonts w:cstheme="minorHAnsi"/>
          <w:sz w:val="24"/>
          <w:szCs w:val="24"/>
        </w:rPr>
        <w:t>Zakon začne veljati naslednji dan po objavi v Uradnem listu Republike Slovenije zaradi pravočasne uveljavitve določb, ki se prenašajo v slovenski pravni red iz Direktive 2016/1164/EU, to je do 31. 12. 2019, in z namenom, da se do tega datuma zagotovi tudi uveljavitev začetka uporabe sprememb ustreznega podzakonskega akta.</w:t>
      </w:r>
    </w:p>
    <w:p w14:paraId="0B0B6904" w14:textId="4A4A6B45" w:rsidR="00284645" w:rsidRPr="00375D5A" w:rsidRDefault="00284645" w:rsidP="00284645">
      <w:pPr>
        <w:autoSpaceDE w:val="0"/>
        <w:autoSpaceDN w:val="0"/>
        <w:adjustRightInd w:val="0"/>
        <w:spacing w:after="0" w:line="240" w:lineRule="auto"/>
        <w:rPr>
          <w:rFonts w:cstheme="minorHAnsi"/>
          <w:sz w:val="24"/>
          <w:szCs w:val="24"/>
        </w:rPr>
      </w:pPr>
      <w:r w:rsidRPr="00375D5A">
        <w:rPr>
          <w:rFonts w:cstheme="minorHAnsi"/>
          <w:sz w:val="24"/>
          <w:szCs w:val="24"/>
        </w:rPr>
        <w:t>Nova ureditev glede priznavanja odhodkov amortizacije pri poslovnih najemih se uporablja tudi za nazaj, to je od 1. januarja 2019 dalje. S povratno veljavnostjo te določbe se namreč ne posega v pridobljene pravice zavezancev, saj se vsebina nanaša na obveznost za plačilo davka, ki se za nazaj zmanjšuje. Povratno veljavnost zahteva tudi javna korist, saj se bo tako uskladil datum začetka uporabe novih računovodskih pravil z datumom začetka uporabe novega davčnega pravila, kar za zavezance pomeni tudi administrativno poenostavitev, saj jim praviloma ne bo treba</w:t>
      </w:r>
      <w:r w:rsidR="001C760F">
        <w:rPr>
          <w:rFonts w:cstheme="minorHAnsi"/>
          <w:sz w:val="24"/>
          <w:szCs w:val="24"/>
        </w:rPr>
        <w:t xml:space="preserve"> </w:t>
      </w:r>
      <w:r w:rsidRPr="00375D5A">
        <w:rPr>
          <w:rFonts w:cstheme="minorHAnsi"/>
          <w:sz w:val="24"/>
          <w:szCs w:val="24"/>
        </w:rPr>
        <w:t>obračunavati odloženih davkov.</w:t>
      </w:r>
    </w:p>
    <w:p w14:paraId="676007F4" w14:textId="0139C5A7" w:rsidR="00284645" w:rsidRPr="00375D5A" w:rsidRDefault="00284645" w:rsidP="00284645">
      <w:pPr>
        <w:autoSpaceDE w:val="0"/>
        <w:autoSpaceDN w:val="0"/>
        <w:adjustRightInd w:val="0"/>
        <w:spacing w:after="0" w:line="240" w:lineRule="auto"/>
        <w:rPr>
          <w:rFonts w:cstheme="minorHAnsi"/>
          <w:sz w:val="24"/>
          <w:szCs w:val="24"/>
        </w:rPr>
      </w:pPr>
      <w:r w:rsidRPr="00375D5A">
        <w:rPr>
          <w:rFonts w:cstheme="minorHAnsi"/>
          <w:sz w:val="24"/>
          <w:szCs w:val="24"/>
        </w:rPr>
        <w:t xml:space="preserve">Nova določba glede omejitve zmanjšanja davčne osnove zaradi uveljavljanja davčnih olajšav in pokrivanja prenesene davčne izgube se uporablja za davčna obdobja, ki se začnejo 1. </w:t>
      </w:r>
      <w:r w:rsidR="001C760F">
        <w:rPr>
          <w:rFonts w:cstheme="minorHAnsi"/>
          <w:sz w:val="24"/>
          <w:szCs w:val="24"/>
        </w:rPr>
        <w:t>j</w:t>
      </w:r>
      <w:r w:rsidRPr="00375D5A">
        <w:rPr>
          <w:rFonts w:cstheme="minorHAnsi"/>
          <w:sz w:val="24"/>
          <w:szCs w:val="24"/>
        </w:rPr>
        <w:t>anuarja 2020 ali kasneje.</w:t>
      </w:r>
    </w:p>
    <w:p w14:paraId="52CE9D63" w14:textId="5B78C34B" w:rsidR="00EA7AE2" w:rsidRPr="00375D5A" w:rsidRDefault="00EA7AE2" w:rsidP="00284645">
      <w:pPr>
        <w:autoSpaceDE w:val="0"/>
        <w:autoSpaceDN w:val="0"/>
        <w:adjustRightInd w:val="0"/>
        <w:spacing w:after="0" w:line="240" w:lineRule="auto"/>
        <w:rPr>
          <w:rFonts w:cstheme="minorHAnsi"/>
          <w:sz w:val="24"/>
          <w:szCs w:val="24"/>
        </w:rPr>
      </w:pPr>
    </w:p>
    <w:p w14:paraId="42E8F667" w14:textId="7E41A54E" w:rsidR="00EA7AE2" w:rsidRPr="00375D5A" w:rsidRDefault="00EA7AE2" w:rsidP="00284645">
      <w:pPr>
        <w:autoSpaceDE w:val="0"/>
        <w:autoSpaceDN w:val="0"/>
        <w:adjustRightInd w:val="0"/>
        <w:spacing w:after="0" w:line="240" w:lineRule="auto"/>
        <w:rPr>
          <w:rFonts w:cstheme="minorHAnsi"/>
          <w:sz w:val="24"/>
          <w:szCs w:val="24"/>
        </w:rPr>
      </w:pPr>
    </w:p>
    <w:p w14:paraId="376FA403" w14:textId="50F3D889" w:rsidR="00EA7AE2" w:rsidRPr="00375D5A" w:rsidRDefault="00EA7AE2" w:rsidP="00284645">
      <w:pPr>
        <w:autoSpaceDE w:val="0"/>
        <w:autoSpaceDN w:val="0"/>
        <w:adjustRightInd w:val="0"/>
        <w:spacing w:after="0" w:line="240" w:lineRule="auto"/>
        <w:rPr>
          <w:rFonts w:cstheme="minorHAnsi"/>
          <w:sz w:val="24"/>
          <w:szCs w:val="24"/>
        </w:rPr>
      </w:pPr>
    </w:p>
    <w:p w14:paraId="35C6EA9E" w14:textId="2B2389FD" w:rsidR="00EA7AE2" w:rsidRPr="00375D5A" w:rsidRDefault="00EA7AE2" w:rsidP="00284645">
      <w:pPr>
        <w:autoSpaceDE w:val="0"/>
        <w:autoSpaceDN w:val="0"/>
        <w:adjustRightInd w:val="0"/>
        <w:spacing w:after="0" w:line="240" w:lineRule="auto"/>
        <w:rPr>
          <w:rFonts w:cstheme="minorHAnsi"/>
          <w:sz w:val="24"/>
          <w:szCs w:val="24"/>
        </w:rPr>
      </w:pPr>
    </w:p>
    <w:p w14:paraId="0D71798B" w14:textId="555079AD" w:rsidR="00EA7AE2" w:rsidRPr="00375D5A" w:rsidRDefault="00EA7AE2" w:rsidP="00284645">
      <w:pPr>
        <w:autoSpaceDE w:val="0"/>
        <w:autoSpaceDN w:val="0"/>
        <w:adjustRightInd w:val="0"/>
        <w:spacing w:after="0" w:line="240" w:lineRule="auto"/>
        <w:rPr>
          <w:rFonts w:cstheme="minorHAnsi"/>
          <w:sz w:val="24"/>
          <w:szCs w:val="24"/>
        </w:rPr>
      </w:pPr>
    </w:p>
    <w:p w14:paraId="0B58B3D3" w14:textId="64F74E30" w:rsidR="00EA7AE2" w:rsidRPr="00375D5A" w:rsidRDefault="00EA7AE2" w:rsidP="00284645">
      <w:pPr>
        <w:autoSpaceDE w:val="0"/>
        <w:autoSpaceDN w:val="0"/>
        <w:adjustRightInd w:val="0"/>
        <w:spacing w:after="0" w:line="240" w:lineRule="auto"/>
        <w:rPr>
          <w:rFonts w:cstheme="minorHAnsi"/>
          <w:sz w:val="24"/>
          <w:szCs w:val="24"/>
        </w:rPr>
      </w:pPr>
    </w:p>
    <w:p w14:paraId="7E7F6B8A" w14:textId="794D80BE" w:rsidR="00EA7AE2" w:rsidRPr="00375D5A" w:rsidRDefault="00EA7AE2" w:rsidP="00284645">
      <w:pPr>
        <w:autoSpaceDE w:val="0"/>
        <w:autoSpaceDN w:val="0"/>
        <w:adjustRightInd w:val="0"/>
        <w:spacing w:after="0" w:line="240" w:lineRule="auto"/>
        <w:rPr>
          <w:rFonts w:cstheme="minorHAnsi"/>
          <w:sz w:val="24"/>
          <w:szCs w:val="24"/>
        </w:rPr>
      </w:pPr>
    </w:p>
    <w:p w14:paraId="2D5103B8" w14:textId="180865B7" w:rsidR="00EA7AE2" w:rsidRPr="00375D5A" w:rsidRDefault="00EA7AE2" w:rsidP="00284645">
      <w:pPr>
        <w:autoSpaceDE w:val="0"/>
        <w:autoSpaceDN w:val="0"/>
        <w:adjustRightInd w:val="0"/>
        <w:spacing w:after="0" w:line="240" w:lineRule="auto"/>
        <w:rPr>
          <w:rFonts w:cstheme="minorHAnsi"/>
          <w:sz w:val="24"/>
          <w:szCs w:val="24"/>
        </w:rPr>
      </w:pPr>
    </w:p>
    <w:p w14:paraId="1532D5FB" w14:textId="5A47B002" w:rsidR="00EA7AE2" w:rsidRPr="00375D5A" w:rsidRDefault="00EA7AE2" w:rsidP="00284645">
      <w:pPr>
        <w:autoSpaceDE w:val="0"/>
        <w:autoSpaceDN w:val="0"/>
        <w:adjustRightInd w:val="0"/>
        <w:spacing w:after="0" w:line="240" w:lineRule="auto"/>
        <w:rPr>
          <w:rFonts w:cstheme="minorHAnsi"/>
          <w:sz w:val="24"/>
          <w:szCs w:val="24"/>
        </w:rPr>
      </w:pPr>
    </w:p>
    <w:p w14:paraId="26CEC0A0" w14:textId="77777777" w:rsidR="00742C94" w:rsidRDefault="00742C94" w:rsidP="00EA7AE2">
      <w:pPr>
        <w:autoSpaceDE w:val="0"/>
        <w:autoSpaceDN w:val="0"/>
        <w:adjustRightInd w:val="0"/>
        <w:spacing w:after="0" w:line="240" w:lineRule="auto"/>
        <w:jc w:val="center"/>
        <w:rPr>
          <w:rFonts w:cstheme="minorHAnsi"/>
          <w:b/>
          <w:bCs/>
          <w:sz w:val="24"/>
          <w:szCs w:val="24"/>
        </w:rPr>
      </w:pPr>
    </w:p>
    <w:p w14:paraId="3474BB24" w14:textId="361A3778" w:rsidR="00EA7AE2" w:rsidRPr="00375D5A" w:rsidRDefault="00C2022A" w:rsidP="00EA7AE2">
      <w:pPr>
        <w:autoSpaceDE w:val="0"/>
        <w:autoSpaceDN w:val="0"/>
        <w:adjustRightInd w:val="0"/>
        <w:spacing w:after="0" w:line="240" w:lineRule="auto"/>
        <w:jc w:val="center"/>
        <w:rPr>
          <w:rFonts w:cstheme="minorHAnsi"/>
          <w:sz w:val="24"/>
          <w:szCs w:val="24"/>
        </w:rPr>
      </w:pPr>
      <w:r w:rsidRPr="00375D5A">
        <w:rPr>
          <w:rFonts w:cstheme="minorHAnsi"/>
          <w:b/>
          <w:bCs/>
          <w:sz w:val="24"/>
          <w:szCs w:val="24"/>
        </w:rPr>
        <w:t>SPREMEMB</w:t>
      </w:r>
      <w:r w:rsidR="00964E01" w:rsidRPr="00375D5A">
        <w:rPr>
          <w:rFonts w:cstheme="minorHAnsi"/>
          <w:b/>
          <w:bCs/>
          <w:sz w:val="24"/>
          <w:szCs w:val="24"/>
        </w:rPr>
        <w:t>E</w:t>
      </w:r>
      <w:r w:rsidRPr="00375D5A">
        <w:rPr>
          <w:rFonts w:cstheme="minorHAnsi"/>
          <w:b/>
          <w:bCs/>
          <w:sz w:val="24"/>
          <w:szCs w:val="24"/>
        </w:rPr>
        <w:t xml:space="preserve"> ZAKONA O DOHODNINI -</w:t>
      </w:r>
      <w:r w:rsidR="00EA7AE2" w:rsidRPr="00375D5A">
        <w:rPr>
          <w:rFonts w:cstheme="minorHAnsi"/>
          <w:b/>
          <w:bCs/>
          <w:sz w:val="24"/>
          <w:szCs w:val="24"/>
        </w:rPr>
        <w:t xml:space="preserve"> ZDoh-2V</w:t>
      </w:r>
    </w:p>
    <w:p w14:paraId="045F143A" w14:textId="4E979BF5" w:rsidR="00EA7AE2" w:rsidRPr="00375D5A" w:rsidRDefault="00EA7AE2" w:rsidP="00284645">
      <w:pPr>
        <w:autoSpaceDE w:val="0"/>
        <w:autoSpaceDN w:val="0"/>
        <w:adjustRightInd w:val="0"/>
        <w:spacing w:after="0" w:line="240" w:lineRule="auto"/>
        <w:rPr>
          <w:rFonts w:cstheme="minorHAnsi"/>
          <w:sz w:val="24"/>
          <w:szCs w:val="24"/>
        </w:rPr>
      </w:pPr>
    </w:p>
    <w:p w14:paraId="2946EA42" w14:textId="2095C12B" w:rsidR="00EA7AE2" w:rsidRPr="00375D5A" w:rsidRDefault="00EA7AE2" w:rsidP="00284645">
      <w:pPr>
        <w:autoSpaceDE w:val="0"/>
        <w:autoSpaceDN w:val="0"/>
        <w:adjustRightInd w:val="0"/>
        <w:spacing w:after="0" w:line="240" w:lineRule="auto"/>
        <w:rPr>
          <w:rFonts w:cstheme="minorHAnsi"/>
          <w:sz w:val="24"/>
          <w:szCs w:val="24"/>
        </w:rPr>
      </w:pPr>
    </w:p>
    <w:p w14:paraId="2C204445" w14:textId="6CE7E700" w:rsidR="00EA7AE2" w:rsidRPr="00375D5A" w:rsidRDefault="00EA7AE2" w:rsidP="00284645">
      <w:pPr>
        <w:autoSpaceDE w:val="0"/>
        <w:autoSpaceDN w:val="0"/>
        <w:adjustRightInd w:val="0"/>
        <w:spacing w:after="0" w:line="240" w:lineRule="auto"/>
        <w:rPr>
          <w:rFonts w:cstheme="minorHAnsi"/>
          <w:sz w:val="24"/>
          <w:szCs w:val="24"/>
        </w:rPr>
      </w:pPr>
    </w:p>
    <w:p w14:paraId="1795E656" w14:textId="6CB2241E" w:rsidR="00EA7AE2" w:rsidRPr="00375D5A" w:rsidRDefault="00EA7AE2" w:rsidP="00284645">
      <w:pPr>
        <w:autoSpaceDE w:val="0"/>
        <w:autoSpaceDN w:val="0"/>
        <w:adjustRightInd w:val="0"/>
        <w:spacing w:after="0" w:line="240" w:lineRule="auto"/>
        <w:rPr>
          <w:rFonts w:cstheme="minorHAnsi"/>
          <w:sz w:val="24"/>
          <w:szCs w:val="24"/>
        </w:rPr>
      </w:pPr>
    </w:p>
    <w:p w14:paraId="716E6228" w14:textId="6FEF04AC" w:rsidR="00EA7AE2" w:rsidRPr="00375D5A" w:rsidRDefault="00EA7AE2" w:rsidP="00EA7AE2">
      <w:pPr>
        <w:autoSpaceDE w:val="0"/>
        <w:autoSpaceDN w:val="0"/>
        <w:adjustRightInd w:val="0"/>
        <w:spacing w:after="0" w:line="240" w:lineRule="auto"/>
        <w:rPr>
          <w:rFonts w:cstheme="minorHAnsi"/>
          <w:sz w:val="24"/>
          <w:szCs w:val="24"/>
        </w:rPr>
      </w:pPr>
      <w:r w:rsidRPr="00375D5A">
        <w:rPr>
          <w:rFonts w:cstheme="minorHAnsi"/>
          <w:sz w:val="24"/>
          <w:szCs w:val="24"/>
        </w:rPr>
        <w:t>V Uradnem listu Republike Slovenije, št. 66/2019, z dne 5. 11. 2019, je bil objavljen Zakon o spremembah in dopolnitvah Zakona dohodnini (novela ZDoh-2V), ki je začel veljati naslednji dan</w:t>
      </w:r>
      <w:r w:rsidR="00291112" w:rsidRPr="00375D5A">
        <w:rPr>
          <w:rFonts w:cstheme="minorHAnsi"/>
          <w:sz w:val="24"/>
          <w:szCs w:val="24"/>
        </w:rPr>
        <w:t xml:space="preserve"> </w:t>
      </w:r>
      <w:r w:rsidRPr="00375D5A">
        <w:rPr>
          <w:rFonts w:cstheme="minorHAnsi"/>
          <w:sz w:val="24"/>
          <w:szCs w:val="24"/>
        </w:rPr>
        <w:t xml:space="preserve">po objavi v Uradnem listu in se uporablja za davčna leta, ki se začnejo od vključno 1. </w:t>
      </w:r>
      <w:r w:rsidR="00291112" w:rsidRPr="00375D5A">
        <w:rPr>
          <w:rFonts w:cstheme="minorHAnsi"/>
          <w:sz w:val="24"/>
          <w:szCs w:val="24"/>
        </w:rPr>
        <w:t>J</w:t>
      </w:r>
      <w:r w:rsidRPr="00375D5A">
        <w:rPr>
          <w:rFonts w:cstheme="minorHAnsi"/>
          <w:sz w:val="24"/>
          <w:szCs w:val="24"/>
        </w:rPr>
        <w:t>anuarja</w:t>
      </w:r>
      <w:r w:rsidR="00291112" w:rsidRPr="00375D5A">
        <w:rPr>
          <w:rFonts w:cstheme="minorHAnsi"/>
          <w:sz w:val="24"/>
          <w:szCs w:val="24"/>
        </w:rPr>
        <w:t xml:space="preserve"> </w:t>
      </w:r>
      <w:r w:rsidRPr="00375D5A">
        <w:rPr>
          <w:rFonts w:cstheme="minorHAnsi"/>
          <w:sz w:val="24"/>
          <w:szCs w:val="24"/>
        </w:rPr>
        <w:t>2020.</w:t>
      </w:r>
    </w:p>
    <w:p w14:paraId="32B87C90" w14:textId="29B5F09E" w:rsidR="00EA7AE2" w:rsidRPr="00375D5A" w:rsidRDefault="00EA7AE2" w:rsidP="00EA7AE2">
      <w:pPr>
        <w:autoSpaceDE w:val="0"/>
        <w:autoSpaceDN w:val="0"/>
        <w:adjustRightInd w:val="0"/>
        <w:spacing w:after="0" w:line="240" w:lineRule="auto"/>
        <w:rPr>
          <w:rFonts w:cstheme="minorHAnsi"/>
          <w:sz w:val="24"/>
          <w:szCs w:val="24"/>
        </w:rPr>
      </w:pPr>
      <w:r w:rsidRPr="00375D5A">
        <w:rPr>
          <w:rFonts w:cstheme="minorHAnsi"/>
          <w:sz w:val="24"/>
          <w:szCs w:val="24"/>
        </w:rPr>
        <w:t xml:space="preserve">V nadaljevanju </w:t>
      </w:r>
      <w:r w:rsidR="00C2022A" w:rsidRPr="00375D5A">
        <w:rPr>
          <w:rFonts w:cstheme="minorHAnsi"/>
          <w:sz w:val="24"/>
          <w:szCs w:val="24"/>
        </w:rPr>
        <w:t xml:space="preserve">bomo preučili nekaj bistvenih </w:t>
      </w:r>
      <w:r w:rsidRPr="00375D5A">
        <w:rPr>
          <w:rFonts w:cstheme="minorHAnsi"/>
          <w:sz w:val="24"/>
          <w:szCs w:val="24"/>
        </w:rPr>
        <w:t>novosti, ki jih prinaša novela ZDoh-2V.</w:t>
      </w:r>
    </w:p>
    <w:p w14:paraId="0E7BA0E6" w14:textId="77777777" w:rsidR="00291112" w:rsidRPr="00375D5A" w:rsidRDefault="00291112" w:rsidP="00EA7AE2">
      <w:pPr>
        <w:autoSpaceDE w:val="0"/>
        <w:autoSpaceDN w:val="0"/>
        <w:adjustRightInd w:val="0"/>
        <w:spacing w:after="0" w:line="240" w:lineRule="auto"/>
        <w:rPr>
          <w:rFonts w:cstheme="minorHAnsi"/>
          <w:sz w:val="24"/>
          <w:szCs w:val="24"/>
        </w:rPr>
      </w:pPr>
    </w:p>
    <w:p w14:paraId="1A629D78" w14:textId="55AB73E7" w:rsidR="00EA7AE2" w:rsidRPr="00375D5A" w:rsidRDefault="00EA7AE2" w:rsidP="00291112">
      <w:pPr>
        <w:pStyle w:val="Odstavekseznama"/>
        <w:numPr>
          <w:ilvl w:val="0"/>
          <w:numId w:val="1"/>
        </w:numPr>
        <w:autoSpaceDE w:val="0"/>
        <w:autoSpaceDN w:val="0"/>
        <w:adjustRightInd w:val="0"/>
        <w:spacing w:after="0" w:line="240" w:lineRule="auto"/>
        <w:rPr>
          <w:rFonts w:cstheme="minorHAnsi"/>
          <w:b/>
          <w:bCs/>
          <w:color w:val="323E4F" w:themeColor="text2" w:themeShade="BF"/>
          <w:sz w:val="24"/>
          <w:szCs w:val="24"/>
        </w:rPr>
      </w:pPr>
      <w:r w:rsidRPr="00375D5A">
        <w:rPr>
          <w:rFonts w:cstheme="minorHAnsi"/>
          <w:b/>
          <w:bCs/>
          <w:color w:val="323E4F" w:themeColor="text2" w:themeShade="BF"/>
          <w:sz w:val="24"/>
          <w:szCs w:val="24"/>
        </w:rPr>
        <w:t>Uskladitev določil o oprostitvah plačila dohodnine s spremembami zakonodaje na</w:t>
      </w:r>
      <w:r w:rsidR="00291112" w:rsidRPr="00375D5A">
        <w:rPr>
          <w:rFonts w:cstheme="minorHAnsi"/>
          <w:b/>
          <w:bCs/>
          <w:color w:val="323E4F" w:themeColor="text2" w:themeShade="BF"/>
          <w:sz w:val="24"/>
          <w:szCs w:val="24"/>
        </w:rPr>
        <w:t xml:space="preserve"> </w:t>
      </w:r>
      <w:r w:rsidRPr="00375D5A">
        <w:rPr>
          <w:rFonts w:cstheme="minorHAnsi"/>
          <w:b/>
          <w:bCs/>
          <w:color w:val="323E4F" w:themeColor="text2" w:themeShade="BF"/>
          <w:sz w:val="24"/>
          <w:szCs w:val="24"/>
        </w:rPr>
        <w:t>invalidskem področju (2. člen ZDoh-2V)</w:t>
      </w:r>
    </w:p>
    <w:p w14:paraId="65E32265" w14:textId="77777777" w:rsidR="00291112" w:rsidRPr="00375D5A" w:rsidRDefault="00291112" w:rsidP="00291112">
      <w:pPr>
        <w:pStyle w:val="Odstavekseznama"/>
        <w:autoSpaceDE w:val="0"/>
        <w:autoSpaceDN w:val="0"/>
        <w:adjustRightInd w:val="0"/>
        <w:spacing w:after="0" w:line="240" w:lineRule="auto"/>
        <w:rPr>
          <w:rFonts w:cstheme="minorHAnsi"/>
          <w:b/>
          <w:bCs/>
          <w:color w:val="323E4F" w:themeColor="text2" w:themeShade="BF"/>
          <w:sz w:val="24"/>
          <w:szCs w:val="24"/>
        </w:rPr>
      </w:pPr>
    </w:p>
    <w:p w14:paraId="5A73E42E" w14:textId="70CB2309" w:rsidR="00EA7AE2" w:rsidRPr="00375D5A" w:rsidRDefault="00EA7AE2" w:rsidP="00EA7AE2">
      <w:pPr>
        <w:autoSpaceDE w:val="0"/>
        <w:autoSpaceDN w:val="0"/>
        <w:adjustRightInd w:val="0"/>
        <w:spacing w:after="0" w:line="240" w:lineRule="auto"/>
        <w:rPr>
          <w:rFonts w:cstheme="minorHAnsi"/>
          <w:sz w:val="24"/>
          <w:szCs w:val="24"/>
        </w:rPr>
      </w:pPr>
      <w:r w:rsidRPr="00375D5A">
        <w:rPr>
          <w:rFonts w:cstheme="minorHAnsi"/>
          <w:sz w:val="24"/>
          <w:szCs w:val="24"/>
        </w:rPr>
        <w:t>S 1. januarjem 2019 je stopil v veljavo Zakon o socialnem vključevanju invalidov, hkrati s tem pa je</w:t>
      </w:r>
      <w:r w:rsidR="00291112" w:rsidRPr="00375D5A">
        <w:rPr>
          <w:rFonts w:cstheme="minorHAnsi"/>
          <w:sz w:val="24"/>
          <w:szCs w:val="24"/>
        </w:rPr>
        <w:t xml:space="preserve"> </w:t>
      </w:r>
      <w:r w:rsidRPr="00375D5A">
        <w:rPr>
          <w:rFonts w:cstheme="minorHAnsi"/>
          <w:sz w:val="24"/>
          <w:szCs w:val="24"/>
        </w:rPr>
        <w:t>prenehal veljati Zakon o družbenem varstvu duševno in telesno prizadetih oseb. Z letošnjim letom</w:t>
      </w:r>
      <w:r w:rsidR="00291112" w:rsidRPr="00375D5A">
        <w:rPr>
          <w:rFonts w:cstheme="minorHAnsi"/>
          <w:sz w:val="24"/>
          <w:szCs w:val="24"/>
        </w:rPr>
        <w:t xml:space="preserve"> </w:t>
      </w:r>
      <w:r w:rsidRPr="00375D5A">
        <w:rPr>
          <w:rFonts w:cstheme="minorHAnsi"/>
          <w:sz w:val="24"/>
          <w:szCs w:val="24"/>
        </w:rPr>
        <w:t>je stopil v veljavo tudi Zakon o osebni asistenci, ki je uredil pravico do osebne asistence za osebe</w:t>
      </w:r>
      <w:r w:rsidR="00291112" w:rsidRPr="00375D5A">
        <w:rPr>
          <w:rFonts w:cstheme="minorHAnsi"/>
          <w:sz w:val="24"/>
          <w:szCs w:val="24"/>
        </w:rPr>
        <w:t xml:space="preserve"> </w:t>
      </w:r>
      <w:r w:rsidRPr="00375D5A">
        <w:rPr>
          <w:rFonts w:cstheme="minorHAnsi"/>
          <w:sz w:val="24"/>
          <w:szCs w:val="24"/>
        </w:rPr>
        <w:t>z dolgotrajnimi telesnimi, duševnimi, intelektualnimi in senzorčnimi okvarami. Pravice invalidov do</w:t>
      </w:r>
      <w:r w:rsidR="00291112" w:rsidRPr="00375D5A">
        <w:rPr>
          <w:rFonts w:cstheme="minorHAnsi"/>
          <w:sz w:val="24"/>
          <w:szCs w:val="24"/>
        </w:rPr>
        <w:t xml:space="preserve"> </w:t>
      </w:r>
      <w:r w:rsidRPr="00375D5A">
        <w:rPr>
          <w:rFonts w:cstheme="minorHAnsi"/>
          <w:sz w:val="24"/>
          <w:szCs w:val="24"/>
        </w:rPr>
        <w:t>določenih ugodnosti v obliki povračil stroškov, storitev in drugih ugodnosti v naravi ureja tudi Zakon</w:t>
      </w:r>
      <w:r w:rsidR="00291112" w:rsidRPr="00375D5A">
        <w:rPr>
          <w:rFonts w:cstheme="minorHAnsi"/>
          <w:sz w:val="24"/>
          <w:szCs w:val="24"/>
        </w:rPr>
        <w:t xml:space="preserve"> </w:t>
      </w:r>
      <w:r w:rsidRPr="00375D5A">
        <w:rPr>
          <w:rFonts w:cstheme="minorHAnsi"/>
          <w:sz w:val="24"/>
          <w:szCs w:val="24"/>
        </w:rPr>
        <w:t>o izenačevanju možnosti invalidov. S spremembami zakonodaje na invalidskem</w:t>
      </w:r>
      <w:r w:rsidRPr="00375D5A">
        <w:rPr>
          <w:rFonts w:cstheme="minorHAnsi"/>
          <w:sz w:val="24"/>
          <w:szCs w:val="24"/>
          <w:lang w:val="sl-SI"/>
        </w:rPr>
        <w:t xml:space="preserve"> področju</w:t>
      </w:r>
      <w:r w:rsidRPr="00375D5A">
        <w:rPr>
          <w:rFonts w:cstheme="minorHAnsi"/>
          <w:sz w:val="24"/>
          <w:szCs w:val="24"/>
        </w:rPr>
        <w:t xml:space="preserve"> je bilo</w:t>
      </w:r>
      <w:r w:rsidR="00291112" w:rsidRPr="00375D5A">
        <w:rPr>
          <w:rFonts w:cstheme="minorHAnsi"/>
          <w:sz w:val="24"/>
          <w:szCs w:val="24"/>
        </w:rPr>
        <w:t xml:space="preserve"> </w:t>
      </w:r>
      <w:r w:rsidRPr="00375D5A">
        <w:rPr>
          <w:rFonts w:cstheme="minorHAnsi"/>
          <w:sz w:val="24"/>
          <w:szCs w:val="24"/>
        </w:rPr>
        <w:t>potrebno urediti oziroma spremeniti tudi določila 21. člena ZDoh-2, po katerih so dohodki (v obliki</w:t>
      </w:r>
      <w:r w:rsidR="00291112" w:rsidRPr="00375D5A">
        <w:rPr>
          <w:rFonts w:cstheme="minorHAnsi"/>
          <w:sz w:val="24"/>
          <w:szCs w:val="24"/>
        </w:rPr>
        <w:t xml:space="preserve"> </w:t>
      </w:r>
      <w:r w:rsidRPr="00375D5A">
        <w:rPr>
          <w:rFonts w:cstheme="minorHAnsi"/>
          <w:sz w:val="24"/>
          <w:szCs w:val="24"/>
        </w:rPr>
        <w:t>povračil stroškov, storitev in drugih ugodnosti), določeni po navedenih in drugih posebnih zakonih,</w:t>
      </w:r>
      <w:r w:rsidR="00291112" w:rsidRPr="00375D5A">
        <w:rPr>
          <w:rFonts w:cstheme="minorHAnsi"/>
          <w:sz w:val="24"/>
          <w:szCs w:val="24"/>
        </w:rPr>
        <w:t xml:space="preserve"> </w:t>
      </w:r>
      <w:r w:rsidRPr="00375D5A">
        <w:rPr>
          <w:rFonts w:cstheme="minorHAnsi"/>
          <w:b/>
          <w:bCs/>
          <w:color w:val="323E4F" w:themeColor="text2" w:themeShade="BF"/>
          <w:sz w:val="24"/>
          <w:szCs w:val="24"/>
        </w:rPr>
        <w:t>oproščeni plačila dohodnine</w:t>
      </w:r>
      <w:r w:rsidRPr="00375D5A">
        <w:rPr>
          <w:rFonts w:cstheme="minorHAnsi"/>
          <w:sz w:val="24"/>
          <w:szCs w:val="24"/>
        </w:rPr>
        <w:t>.</w:t>
      </w:r>
      <w:r w:rsidR="00291112" w:rsidRPr="00375D5A">
        <w:rPr>
          <w:rFonts w:cstheme="minorHAnsi"/>
          <w:sz w:val="24"/>
          <w:szCs w:val="24"/>
        </w:rPr>
        <w:t xml:space="preserve"> </w:t>
      </w:r>
    </w:p>
    <w:p w14:paraId="3C0C1412" w14:textId="77777777" w:rsidR="00291112" w:rsidRPr="00375D5A" w:rsidRDefault="00291112" w:rsidP="00EA7AE2">
      <w:pPr>
        <w:autoSpaceDE w:val="0"/>
        <w:autoSpaceDN w:val="0"/>
        <w:adjustRightInd w:val="0"/>
        <w:spacing w:after="0" w:line="240" w:lineRule="auto"/>
        <w:rPr>
          <w:rFonts w:cstheme="minorHAnsi"/>
          <w:sz w:val="24"/>
          <w:szCs w:val="24"/>
        </w:rPr>
      </w:pPr>
    </w:p>
    <w:p w14:paraId="1255000F" w14:textId="2F1B808A" w:rsidR="00EA7AE2" w:rsidRPr="00375D5A" w:rsidRDefault="00EA7AE2" w:rsidP="00291112">
      <w:pPr>
        <w:pStyle w:val="Odstavekseznama"/>
        <w:numPr>
          <w:ilvl w:val="0"/>
          <w:numId w:val="1"/>
        </w:numPr>
        <w:autoSpaceDE w:val="0"/>
        <w:autoSpaceDN w:val="0"/>
        <w:adjustRightInd w:val="0"/>
        <w:spacing w:after="0" w:line="240" w:lineRule="auto"/>
        <w:rPr>
          <w:rFonts w:cstheme="minorHAnsi"/>
          <w:b/>
          <w:bCs/>
          <w:sz w:val="24"/>
          <w:szCs w:val="24"/>
        </w:rPr>
      </w:pPr>
      <w:r w:rsidRPr="00375D5A">
        <w:rPr>
          <w:rFonts w:cstheme="minorHAnsi"/>
          <w:b/>
          <w:bCs/>
          <w:sz w:val="24"/>
          <w:szCs w:val="24"/>
        </w:rPr>
        <w:t>Nižje bonitete za osebno motorno vozilo na električni pogon za privatne namene (3.</w:t>
      </w:r>
      <w:r w:rsidR="00291112" w:rsidRPr="00375D5A">
        <w:rPr>
          <w:rFonts w:cstheme="minorHAnsi"/>
          <w:b/>
          <w:bCs/>
          <w:sz w:val="24"/>
          <w:szCs w:val="24"/>
        </w:rPr>
        <w:t xml:space="preserve"> </w:t>
      </w:r>
      <w:r w:rsidRPr="00375D5A">
        <w:rPr>
          <w:rFonts w:cstheme="minorHAnsi"/>
          <w:b/>
          <w:bCs/>
          <w:sz w:val="24"/>
          <w:szCs w:val="24"/>
        </w:rPr>
        <w:t>člen</w:t>
      </w:r>
      <w:r w:rsidR="00291112" w:rsidRPr="00375D5A">
        <w:rPr>
          <w:rFonts w:cstheme="minorHAnsi"/>
          <w:b/>
          <w:bCs/>
          <w:sz w:val="24"/>
          <w:szCs w:val="24"/>
        </w:rPr>
        <w:t xml:space="preserve"> </w:t>
      </w:r>
      <w:r w:rsidRPr="00375D5A">
        <w:rPr>
          <w:rFonts w:cstheme="minorHAnsi"/>
          <w:b/>
          <w:bCs/>
          <w:sz w:val="24"/>
          <w:szCs w:val="24"/>
        </w:rPr>
        <w:t>ZDoh-2V)</w:t>
      </w:r>
    </w:p>
    <w:p w14:paraId="18AA61FD" w14:textId="77777777" w:rsidR="00291112" w:rsidRPr="00375D5A" w:rsidRDefault="00291112" w:rsidP="00291112">
      <w:pPr>
        <w:pStyle w:val="Odstavekseznama"/>
        <w:autoSpaceDE w:val="0"/>
        <w:autoSpaceDN w:val="0"/>
        <w:adjustRightInd w:val="0"/>
        <w:spacing w:after="0" w:line="240" w:lineRule="auto"/>
        <w:rPr>
          <w:rFonts w:cstheme="minorHAnsi"/>
          <w:b/>
          <w:bCs/>
          <w:sz w:val="24"/>
          <w:szCs w:val="24"/>
        </w:rPr>
      </w:pPr>
    </w:p>
    <w:p w14:paraId="14134A1A" w14:textId="22D67FDF" w:rsidR="00EA7AE2" w:rsidRPr="00375D5A" w:rsidRDefault="00EA7AE2" w:rsidP="00EA7AE2">
      <w:pPr>
        <w:autoSpaceDE w:val="0"/>
        <w:autoSpaceDN w:val="0"/>
        <w:adjustRightInd w:val="0"/>
        <w:spacing w:after="0" w:line="240" w:lineRule="auto"/>
        <w:rPr>
          <w:rFonts w:cstheme="minorHAnsi"/>
          <w:sz w:val="24"/>
          <w:szCs w:val="24"/>
        </w:rPr>
      </w:pPr>
      <w:r w:rsidRPr="00375D5A">
        <w:rPr>
          <w:rFonts w:cstheme="minorHAnsi"/>
          <w:sz w:val="24"/>
          <w:szCs w:val="24"/>
        </w:rPr>
        <w:t>Z dopolnitvijo 43. člena ZDoh-2 (2.a odstavek) se uvaja posebno ugodnost pri izračunu bonitete za</w:t>
      </w:r>
      <w:r w:rsidR="00C2022A" w:rsidRPr="00375D5A">
        <w:rPr>
          <w:rFonts w:cstheme="minorHAnsi"/>
          <w:sz w:val="24"/>
          <w:szCs w:val="24"/>
        </w:rPr>
        <w:t xml:space="preserve"> </w:t>
      </w:r>
      <w:r w:rsidRPr="00375D5A">
        <w:rPr>
          <w:rFonts w:cstheme="minorHAnsi"/>
          <w:sz w:val="24"/>
          <w:szCs w:val="24"/>
        </w:rPr>
        <w:t xml:space="preserve">uporabo električnega osebnega vozila za privatni namen. Novost se nanaša samo na </w:t>
      </w:r>
      <w:r w:rsidRPr="00375D5A">
        <w:rPr>
          <w:rFonts w:cstheme="minorHAnsi"/>
          <w:i/>
          <w:iCs/>
          <w:sz w:val="24"/>
          <w:szCs w:val="24"/>
          <w:u w:val="single"/>
        </w:rPr>
        <w:t>električna</w:t>
      </w:r>
      <w:r w:rsidR="00291112" w:rsidRPr="00375D5A">
        <w:rPr>
          <w:rFonts w:cstheme="minorHAnsi"/>
          <w:i/>
          <w:iCs/>
          <w:sz w:val="24"/>
          <w:szCs w:val="24"/>
          <w:u w:val="single"/>
        </w:rPr>
        <w:t xml:space="preserve"> </w:t>
      </w:r>
      <w:r w:rsidRPr="00375D5A">
        <w:rPr>
          <w:rFonts w:cstheme="minorHAnsi"/>
          <w:i/>
          <w:iCs/>
          <w:sz w:val="24"/>
          <w:szCs w:val="24"/>
          <w:u w:val="single"/>
        </w:rPr>
        <w:t>osebna vozila</w:t>
      </w:r>
      <w:r w:rsidRPr="00375D5A">
        <w:rPr>
          <w:rFonts w:cstheme="minorHAnsi"/>
          <w:sz w:val="24"/>
          <w:szCs w:val="24"/>
        </w:rPr>
        <w:t>, ne pa na hibridna vozila, ki so delno tudi na električni pogon.</w:t>
      </w:r>
    </w:p>
    <w:p w14:paraId="410F1E5A" w14:textId="6D940B1F" w:rsidR="00EA7AE2" w:rsidRPr="00375D5A" w:rsidRDefault="00EA7AE2" w:rsidP="00EA7AE2">
      <w:pPr>
        <w:autoSpaceDE w:val="0"/>
        <w:autoSpaceDN w:val="0"/>
        <w:adjustRightInd w:val="0"/>
        <w:spacing w:after="0" w:line="240" w:lineRule="auto"/>
        <w:rPr>
          <w:rFonts w:cstheme="minorHAnsi"/>
          <w:i/>
          <w:iCs/>
          <w:sz w:val="24"/>
          <w:szCs w:val="24"/>
          <w:u w:val="single"/>
        </w:rPr>
      </w:pPr>
      <w:r w:rsidRPr="00375D5A">
        <w:rPr>
          <w:rFonts w:cstheme="minorHAnsi"/>
          <w:sz w:val="24"/>
          <w:szCs w:val="24"/>
        </w:rPr>
        <w:t xml:space="preserve">Če delodajalec zagotovi delojemalcu </w:t>
      </w:r>
      <w:r w:rsidRPr="00375D5A">
        <w:rPr>
          <w:rFonts w:cstheme="minorHAnsi"/>
          <w:sz w:val="24"/>
          <w:szCs w:val="24"/>
          <w:u w:val="single"/>
        </w:rPr>
        <w:t>osebno vozilo</w:t>
      </w:r>
      <w:r w:rsidRPr="00375D5A">
        <w:rPr>
          <w:rFonts w:cstheme="minorHAnsi"/>
          <w:sz w:val="24"/>
          <w:szCs w:val="24"/>
        </w:rPr>
        <w:t xml:space="preserve"> na električni pogon, se ne glede na dejansko</w:t>
      </w:r>
      <w:r w:rsidR="00291112" w:rsidRPr="00375D5A">
        <w:rPr>
          <w:rFonts w:cstheme="minorHAnsi"/>
          <w:sz w:val="24"/>
          <w:szCs w:val="24"/>
        </w:rPr>
        <w:t xml:space="preserve"> </w:t>
      </w:r>
      <w:r w:rsidRPr="00375D5A">
        <w:rPr>
          <w:rFonts w:cstheme="minorHAnsi"/>
          <w:sz w:val="24"/>
          <w:szCs w:val="24"/>
        </w:rPr>
        <w:t>porabo in ne glede na način pridobitve vozila v davčno osnovo všteva 0,3 % nabavne vrednosti</w:t>
      </w:r>
      <w:r w:rsidR="00291112" w:rsidRPr="00375D5A">
        <w:rPr>
          <w:rFonts w:cstheme="minorHAnsi"/>
          <w:sz w:val="24"/>
          <w:szCs w:val="24"/>
        </w:rPr>
        <w:t xml:space="preserve"> </w:t>
      </w:r>
      <w:r w:rsidRPr="00375D5A">
        <w:rPr>
          <w:rFonts w:cstheme="minorHAnsi"/>
          <w:sz w:val="24"/>
          <w:szCs w:val="24"/>
        </w:rPr>
        <w:t>vozila mesečno, če vrednost ob pridobitvi (vključno z DDV) ne presega 60.000 evrov. Izračun</w:t>
      </w:r>
      <w:r w:rsidR="00291112" w:rsidRPr="00375D5A">
        <w:rPr>
          <w:rFonts w:cstheme="minorHAnsi"/>
          <w:sz w:val="24"/>
          <w:szCs w:val="24"/>
        </w:rPr>
        <w:t xml:space="preserve"> </w:t>
      </w:r>
      <w:r w:rsidRPr="00375D5A">
        <w:rPr>
          <w:rFonts w:cstheme="minorHAnsi"/>
          <w:sz w:val="24"/>
          <w:szCs w:val="24"/>
        </w:rPr>
        <w:t>bonitete za uporabo vozil na drug pogon bencinski, dizelski) ostaja nespremenjen v skladu z</w:t>
      </w:r>
      <w:r w:rsidR="00291112" w:rsidRPr="00375D5A">
        <w:rPr>
          <w:rFonts w:cstheme="minorHAnsi"/>
          <w:sz w:val="24"/>
          <w:szCs w:val="24"/>
        </w:rPr>
        <w:t xml:space="preserve"> </w:t>
      </w:r>
      <w:r w:rsidRPr="00375D5A">
        <w:rPr>
          <w:rFonts w:cstheme="minorHAnsi"/>
          <w:sz w:val="24"/>
          <w:szCs w:val="24"/>
        </w:rPr>
        <w:t xml:space="preserve">drugim odstavkom 43. člena ZDoh-2 (v prvem letu 1,5 % od nabavne vrednosti). </w:t>
      </w:r>
      <w:r w:rsidRPr="00375D5A">
        <w:rPr>
          <w:rFonts w:cstheme="minorHAnsi"/>
          <w:i/>
          <w:iCs/>
          <w:sz w:val="24"/>
          <w:szCs w:val="24"/>
          <w:u w:val="single"/>
        </w:rPr>
        <w:t>Enak izračun</w:t>
      </w:r>
      <w:r w:rsidR="00291112" w:rsidRPr="00375D5A">
        <w:rPr>
          <w:rFonts w:cstheme="minorHAnsi"/>
          <w:i/>
          <w:iCs/>
          <w:sz w:val="24"/>
          <w:szCs w:val="24"/>
          <w:u w:val="single"/>
        </w:rPr>
        <w:t xml:space="preserve"> </w:t>
      </w:r>
      <w:r w:rsidRPr="00375D5A">
        <w:rPr>
          <w:rFonts w:cstheme="minorHAnsi"/>
          <w:i/>
          <w:iCs/>
          <w:sz w:val="24"/>
          <w:szCs w:val="24"/>
          <w:u w:val="single"/>
        </w:rPr>
        <w:t>bonitete se uporablja tudi za električna vozila, za znesek, ki presega 60.000 evrov nabavne</w:t>
      </w:r>
      <w:r w:rsidR="00291112" w:rsidRPr="00375D5A">
        <w:rPr>
          <w:rFonts w:cstheme="minorHAnsi"/>
          <w:i/>
          <w:iCs/>
          <w:sz w:val="24"/>
          <w:szCs w:val="24"/>
          <w:u w:val="single"/>
        </w:rPr>
        <w:t xml:space="preserve"> </w:t>
      </w:r>
      <w:r w:rsidRPr="00375D5A">
        <w:rPr>
          <w:rFonts w:cstheme="minorHAnsi"/>
          <w:i/>
          <w:iCs/>
          <w:sz w:val="24"/>
          <w:szCs w:val="24"/>
          <w:u w:val="single"/>
        </w:rPr>
        <w:t>vrednosti.</w:t>
      </w:r>
    </w:p>
    <w:p w14:paraId="0920798E" w14:textId="1556698A" w:rsidR="00EA7AE2" w:rsidRPr="00375D5A" w:rsidRDefault="00EA7AE2" w:rsidP="00EA7AE2">
      <w:pPr>
        <w:autoSpaceDE w:val="0"/>
        <w:autoSpaceDN w:val="0"/>
        <w:adjustRightInd w:val="0"/>
        <w:spacing w:after="0" w:line="240" w:lineRule="auto"/>
        <w:rPr>
          <w:rFonts w:cstheme="minorHAnsi"/>
          <w:i/>
          <w:iCs/>
          <w:sz w:val="24"/>
          <w:szCs w:val="24"/>
          <w:u w:val="single"/>
        </w:rPr>
      </w:pPr>
    </w:p>
    <w:p w14:paraId="0B480F32" w14:textId="6DB821CD" w:rsidR="00291112" w:rsidRPr="00375D5A" w:rsidRDefault="00291112" w:rsidP="00291112">
      <w:pPr>
        <w:pStyle w:val="Odstavekseznama"/>
        <w:autoSpaceDE w:val="0"/>
        <w:autoSpaceDN w:val="0"/>
        <w:adjustRightInd w:val="0"/>
        <w:spacing w:after="0" w:line="240" w:lineRule="auto"/>
        <w:rPr>
          <w:rFonts w:cstheme="minorHAnsi"/>
          <w:b/>
          <w:bCs/>
          <w:sz w:val="24"/>
          <w:szCs w:val="24"/>
        </w:rPr>
      </w:pPr>
    </w:p>
    <w:p w14:paraId="4973811D" w14:textId="6F2D17C3" w:rsidR="005528D8" w:rsidRPr="00375D5A" w:rsidRDefault="005528D8" w:rsidP="00291112">
      <w:pPr>
        <w:autoSpaceDE w:val="0"/>
        <w:autoSpaceDN w:val="0"/>
        <w:adjustRightInd w:val="0"/>
        <w:spacing w:after="0" w:line="240" w:lineRule="auto"/>
        <w:rPr>
          <w:rFonts w:cstheme="minorHAnsi"/>
          <w:sz w:val="24"/>
          <w:szCs w:val="24"/>
        </w:rPr>
      </w:pPr>
    </w:p>
    <w:p w14:paraId="7CEACB16" w14:textId="45783A01" w:rsidR="005528D8" w:rsidRPr="00375D5A" w:rsidRDefault="005528D8" w:rsidP="005528D8">
      <w:pPr>
        <w:pStyle w:val="Odstavekseznama"/>
        <w:numPr>
          <w:ilvl w:val="0"/>
          <w:numId w:val="1"/>
        </w:numPr>
        <w:autoSpaceDE w:val="0"/>
        <w:autoSpaceDN w:val="0"/>
        <w:adjustRightInd w:val="0"/>
        <w:spacing w:after="0" w:line="240" w:lineRule="auto"/>
        <w:rPr>
          <w:rFonts w:cstheme="minorHAnsi"/>
          <w:b/>
          <w:bCs/>
          <w:sz w:val="24"/>
          <w:szCs w:val="24"/>
        </w:rPr>
      </w:pPr>
      <w:r w:rsidRPr="00375D5A">
        <w:rPr>
          <w:rFonts w:cstheme="minorHAnsi"/>
          <w:b/>
          <w:bCs/>
          <w:sz w:val="24"/>
          <w:szCs w:val="24"/>
        </w:rPr>
        <w:t>Povečanje deleža normiranih stroškov in povišanje stopnje dohodnine od dohodkov iz oddajanja premoženja v najem (8. in 27. člen ZDoh-2V)</w:t>
      </w:r>
    </w:p>
    <w:p w14:paraId="630EA0CC" w14:textId="77777777" w:rsidR="005528D8" w:rsidRPr="00375D5A" w:rsidRDefault="005528D8" w:rsidP="005528D8">
      <w:pPr>
        <w:pStyle w:val="Odstavekseznama"/>
        <w:autoSpaceDE w:val="0"/>
        <w:autoSpaceDN w:val="0"/>
        <w:adjustRightInd w:val="0"/>
        <w:spacing w:after="0" w:line="240" w:lineRule="auto"/>
        <w:rPr>
          <w:rFonts w:cstheme="minorHAnsi"/>
          <w:b/>
          <w:bCs/>
          <w:sz w:val="24"/>
          <w:szCs w:val="24"/>
        </w:rPr>
      </w:pPr>
    </w:p>
    <w:p w14:paraId="5E698DAB" w14:textId="314BC371" w:rsidR="005528D8" w:rsidRPr="00375D5A" w:rsidRDefault="005528D8" w:rsidP="005528D8">
      <w:pPr>
        <w:autoSpaceDE w:val="0"/>
        <w:autoSpaceDN w:val="0"/>
        <w:adjustRightInd w:val="0"/>
        <w:spacing w:after="0" w:line="240" w:lineRule="auto"/>
        <w:rPr>
          <w:rFonts w:cstheme="minorHAnsi"/>
          <w:sz w:val="24"/>
          <w:szCs w:val="24"/>
        </w:rPr>
      </w:pPr>
      <w:r w:rsidRPr="00375D5A">
        <w:rPr>
          <w:rFonts w:cstheme="minorHAnsi"/>
          <w:sz w:val="24"/>
          <w:szCs w:val="24"/>
        </w:rPr>
        <w:t xml:space="preserve">S spremembo 77. člena ZDoh-2 se delež normiranih stroškov, ki zmanjšujejo davčno osnovo od dohodkov iz oddajanja premoženja v najem, poveča z 10 % na 15 %. S spremembo 135.č </w:t>
      </w:r>
      <w:r w:rsidRPr="00375D5A">
        <w:rPr>
          <w:rFonts w:cstheme="minorHAnsi"/>
          <w:sz w:val="24"/>
          <w:szCs w:val="24"/>
        </w:rPr>
        <w:lastRenderedPageBreak/>
        <w:t>člena ZDoh-2 pa se spreminja tudi stopnja dohodnine za te dohodke, in sicer s 25 % na 27,5 %.</w:t>
      </w:r>
    </w:p>
    <w:p w14:paraId="42959540" w14:textId="77777777" w:rsidR="005528D8" w:rsidRPr="00375D5A" w:rsidRDefault="005528D8" w:rsidP="005528D8">
      <w:pPr>
        <w:autoSpaceDE w:val="0"/>
        <w:autoSpaceDN w:val="0"/>
        <w:adjustRightInd w:val="0"/>
        <w:spacing w:after="0" w:line="240" w:lineRule="auto"/>
        <w:rPr>
          <w:rFonts w:cstheme="minorHAnsi"/>
          <w:sz w:val="24"/>
          <w:szCs w:val="24"/>
        </w:rPr>
      </w:pPr>
    </w:p>
    <w:p w14:paraId="1B41DB07" w14:textId="39712E69" w:rsidR="00B63BA3" w:rsidRPr="00375D5A" w:rsidRDefault="00B63BA3" w:rsidP="00B63BA3">
      <w:pPr>
        <w:autoSpaceDE w:val="0"/>
        <w:autoSpaceDN w:val="0"/>
        <w:adjustRightInd w:val="0"/>
        <w:spacing w:after="0" w:line="240" w:lineRule="auto"/>
        <w:rPr>
          <w:rFonts w:cstheme="minorHAnsi"/>
          <w:sz w:val="24"/>
          <w:szCs w:val="24"/>
        </w:rPr>
      </w:pPr>
    </w:p>
    <w:p w14:paraId="745CEABC" w14:textId="2BA62044" w:rsidR="00B63BA3" w:rsidRPr="00375D5A" w:rsidRDefault="00B63BA3" w:rsidP="00B63BA3">
      <w:pPr>
        <w:autoSpaceDE w:val="0"/>
        <w:autoSpaceDN w:val="0"/>
        <w:adjustRightInd w:val="0"/>
        <w:spacing w:after="0" w:line="240" w:lineRule="auto"/>
        <w:rPr>
          <w:rFonts w:cstheme="minorHAnsi"/>
          <w:sz w:val="24"/>
          <w:szCs w:val="24"/>
        </w:rPr>
      </w:pPr>
    </w:p>
    <w:p w14:paraId="04739050" w14:textId="6E4C8D58" w:rsidR="00B63BA3" w:rsidRPr="00375D5A" w:rsidRDefault="00221356" w:rsidP="00B63BA3">
      <w:pPr>
        <w:autoSpaceDE w:val="0"/>
        <w:autoSpaceDN w:val="0"/>
        <w:adjustRightInd w:val="0"/>
        <w:spacing w:after="0" w:line="240" w:lineRule="auto"/>
        <w:rPr>
          <w:rFonts w:cstheme="minorHAnsi"/>
          <w:b/>
          <w:bCs/>
          <w:sz w:val="24"/>
          <w:szCs w:val="24"/>
        </w:rPr>
      </w:pPr>
      <w:r w:rsidRPr="00375D5A">
        <w:rPr>
          <w:rFonts w:cstheme="minorHAnsi"/>
          <w:b/>
          <w:bCs/>
          <w:sz w:val="24"/>
          <w:szCs w:val="24"/>
        </w:rPr>
        <w:t>04</w:t>
      </w:r>
      <w:r w:rsidR="00B63BA3" w:rsidRPr="00375D5A">
        <w:rPr>
          <w:rFonts w:cstheme="minorHAnsi"/>
          <w:b/>
          <w:bCs/>
          <w:sz w:val="24"/>
          <w:szCs w:val="24"/>
        </w:rPr>
        <w:t>. Omejitev zmanjšanja davčne osnove do višine povprečne plače v RS pri odmeri dohodnine na letni ravni za del plače iz naslova poslovne uspešnosti (18. člen ZDoh-2V)</w:t>
      </w:r>
    </w:p>
    <w:p w14:paraId="31BFC47D" w14:textId="77777777" w:rsidR="00B63BA3" w:rsidRPr="00375D5A" w:rsidRDefault="00B63BA3" w:rsidP="00B63BA3">
      <w:pPr>
        <w:autoSpaceDE w:val="0"/>
        <w:autoSpaceDN w:val="0"/>
        <w:adjustRightInd w:val="0"/>
        <w:spacing w:after="0" w:line="240" w:lineRule="auto"/>
        <w:rPr>
          <w:rFonts w:cstheme="minorHAnsi"/>
          <w:b/>
          <w:bCs/>
          <w:sz w:val="24"/>
          <w:szCs w:val="24"/>
        </w:rPr>
      </w:pPr>
    </w:p>
    <w:p w14:paraId="6DF041C4" w14:textId="2D63A37A" w:rsidR="00B63BA3" w:rsidRPr="00375D5A" w:rsidRDefault="00B63BA3" w:rsidP="00B63BA3">
      <w:pPr>
        <w:autoSpaceDE w:val="0"/>
        <w:autoSpaceDN w:val="0"/>
        <w:adjustRightInd w:val="0"/>
        <w:spacing w:after="0" w:line="240" w:lineRule="auto"/>
        <w:rPr>
          <w:rFonts w:cstheme="minorHAnsi"/>
          <w:sz w:val="24"/>
          <w:szCs w:val="24"/>
        </w:rPr>
      </w:pPr>
      <w:r w:rsidRPr="00375D5A">
        <w:rPr>
          <w:rFonts w:cstheme="minorHAnsi"/>
          <w:sz w:val="24"/>
          <w:szCs w:val="24"/>
        </w:rPr>
        <w:t>Z novim sedmim odstavkom 109. člena ZDoh-2 se na letni ravni (na primerljiv način kot za regres za letni dopust) tudi za dohodek iz naslova dela plače za poslovno uspešnost zagotavlja ustavno načelo enakosti pred zakonom. V skladu z 12. točko prvega odstavka 44. člena ZDoh-2 se ugodnejša davčna obravnava dohodkov iz naslova dela plače za poslovno uspešnost lahko upošteva pri vsakem izplačevalcu dohodka - delodajalcu. Z določilom sedmega odstavka 109. člena ZDoh-2 se na letni ravni zagotavlja enaka davčna obravnava prejemnikov dohodka v obliki dela plače za poslovno uspešnost (ne glede na to, ali so ta dohodek prejeli pri enem ali pri več delodajalcih), in sicer se v davčno osnovo ne všteva vsota teh dohodkov do višine 100 % povprečne letne plače zaposlenih v Sloveniji, preračunane na mesec. V letno davčno osnovo se bo tako všteval del plače za poslovno uspešnost, ki presega višino povprečne letne plače zaposlenih v Sloveniji, preračunane na mesec, zmanjšan za sorazmeren del prispevkov za socialno varnost.</w:t>
      </w:r>
    </w:p>
    <w:p w14:paraId="208056BB" w14:textId="30562575" w:rsidR="00B63BA3" w:rsidRPr="00375D5A" w:rsidRDefault="00B63BA3" w:rsidP="00B63BA3">
      <w:pPr>
        <w:autoSpaceDE w:val="0"/>
        <w:autoSpaceDN w:val="0"/>
        <w:adjustRightInd w:val="0"/>
        <w:spacing w:after="0" w:line="240" w:lineRule="auto"/>
        <w:rPr>
          <w:rFonts w:cstheme="minorHAnsi"/>
          <w:sz w:val="24"/>
          <w:szCs w:val="24"/>
        </w:rPr>
      </w:pPr>
      <w:r w:rsidRPr="00375D5A">
        <w:rPr>
          <w:rFonts w:cstheme="minorHAnsi"/>
          <w:sz w:val="24"/>
          <w:szCs w:val="24"/>
        </w:rPr>
        <w:t>Pri tem pa velja opozoriti, da se bo z uveljavitvijo te določbe spremenil dosedanji način poročanja na REK obrazcih tako, da bo izplačevalec v polje A052 vedno vpisal celoten znesek izplačane plače iz naslova uspešnosti poslovanja, tudi če se dohodek v času izplačila ne bo všteval v davčno osnovo dohodka iz delovnega razmerja.</w:t>
      </w:r>
    </w:p>
    <w:p w14:paraId="73E7CD7F" w14:textId="77777777" w:rsidR="00B63BA3" w:rsidRPr="00375D5A" w:rsidRDefault="00B63BA3" w:rsidP="00B63BA3">
      <w:pPr>
        <w:autoSpaceDE w:val="0"/>
        <w:autoSpaceDN w:val="0"/>
        <w:adjustRightInd w:val="0"/>
        <w:spacing w:after="0" w:line="240" w:lineRule="auto"/>
        <w:rPr>
          <w:rFonts w:cstheme="minorHAnsi"/>
          <w:sz w:val="24"/>
          <w:szCs w:val="24"/>
        </w:rPr>
      </w:pPr>
    </w:p>
    <w:p w14:paraId="7684BBF0" w14:textId="37A31149" w:rsidR="00B63BA3" w:rsidRPr="00375D5A" w:rsidRDefault="00221356" w:rsidP="00B63BA3">
      <w:pPr>
        <w:autoSpaceDE w:val="0"/>
        <w:autoSpaceDN w:val="0"/>
        <w:adjustRightInd w:val="0"/>
        <w:spacing w:after="0" w:line="240" w:lineRule="auto"/>
        <w:rPr>
          <w:rFonts w:cstheme="minorHAnsi"/>
          <w:b/>
          <w:bCs/>
          <w:sz w:val="24"/>
          <w:szCs w:val="24"/>
        </w:rPr>
      </w:pPr>
      <w:r w:rsidRPr="00375D5A">
        <w:rPr>
          <w:rFonts w:cstheme="minorHAnsi"/>
          <w:b/>
          <w:bCs/>
          <w:sz w:val="24"/>
          <w:szCs w:val="24"/>
        </w:rPr>
        <w:t>05</w:t>
      </w:r>
      <w:r w:rsidR="00B63BA3" w:rsidRPr="00375D5A">
        <w:rPr>
          <w:rFonts w:cstheme="minorHAnsi"/>
          <w:b/>
          <w:bCs/>
          <w:sz w:val="24"/>
          <w:szCs w:val="24"/>
        </w:rPr>
        <w:t>. Pri izračunu akontacije dohodnine se zavezanec lahko odloči, da se mu del plače za poslovno uspešnost ne izvzame iz davčne osnove (23. člen ZDoh-2V)</w:t>
      </w:r>
    </w:p>
    <w:p w14:paraId="589EA2C2" w14:textId="77777777" w:rsidR="00B63BA3" w:rsidRPr="00375D5A" w:rsidRDefault="00B63BA3" w:rsidP="00B63BA3">
      <w:pPr>
        <w:autoSpaceDE w:val="0"/>
        <w:autoSpaceDN w:val="0"/>
        <w:adjustRightInd w:val="0"/>
        <w:spacing w:after="0" w:line="240" w:lineRule="auto"/>
        <w:rPr>
          <w:rFonts w:cstheme="minorHAnsi"/>
          <w:b/>
          <w:bCs/>
          <w:sz w:val="24"/>
          <w:szCs w:val="24"/>
        </w:rPr>
      </w:pPr>
    </w:p>
    <w:p w14:paraId="1F308ED2" w14:textId="0E3D4C27" w:rsidR="00B63BA3" w:rsidRPr="00375D5A" w:rsidRDefault="00B63BA3" w:rsidP="00B63BA3">
      <w:pPr>
        <w:autoSpaceDE w:val="0"/>
        <w:autoSpaceDN w:val="0"/>
        <w:adjustRightInd w:val="0"/>
        <w:spacing w:after="0" w:line="240" w:lineRule="auto"/>
        <w:rPr>
          <w:rFonts w:cstheme="minorHAnsi"/>
          <w:sz w:val="24"/>
          <w:szCs w:val="24"/>
        </w:rPr>
      </w:pPr>
      <w:r w:rsidRPr="00375D5A">
        <w:rPr>
          <w:rFonts w:cstheme="minorHAnsi"/>
          <w:sz w:val="24"/>
          <w:szCs w:val="24"/>
        </w:rPr>
        <w:t>Z določbo sedmega odstavka 109. člena ZDoh-2 je zavezancu omogočeno, da se na enak način kot pri regresu za letni dopust, tudi pri izračunu akontacije dohodnine od dela plače za poslovno uspešnost (po 12. točki prvega odstavka 44. člena ZDoh-2) lahko odloči za neupoštevanje davčno ugodnejše obravnave tega dohodka. Zavezanec lahko namreč v posameznem letu tovrstni dohodek prejme pri več kot enem izplačevalcu, zaradi česar bi skupni znesek tega dohodka na letni ravni lahko bistveno presegel letno povprečno plačo v RS, preračunano na mesec, kar bi pomenilo večja doplačila dohodnine na letni ravni. O takšni odločitvi mora zavezanec obvestiti delodajalca, kar je urejeno z dopolnitvijo štirinajstega odstavka 127. člena ZDoh-2.</w:t>
      </w:r>
    </w:p>
    <w:p w14:paraId="7668BC98" w14:textId="77777777" w:rsidR="00B63BA3" w:rsidRPr="00375D5A" w:rsidRDefault="00B63BA3" w:rsidP="00B63BA3">
      <w:pPr>
        <w:autoSpaceDE w:val="0"/>
        <w:autoSpaceDN w:val="0"/>
        <w:adjustRightInd w:val="0"/>
        <w:spacing w:after="0" w:line="240" w:lineRule="auto"/>
        <w:rPr>
          <w:rFonts w:cstheme="minorHAnsi"/>
          <w:sz w:val="24"/>
          <w:szCs w:val="24"/>
        </w:rPr>
      </w:pPr>
    </w:p>
    <w:p w14:paraId="230B7308" w14:textId="482659AE" w:rsidR="00B63BA3" w:rsidRPr="00375D5A" w:rsidRDefault="00DB5401" w:rsidP="00B63BA3">
      <w:pPr>
        <w:autoSpaceDE w:val="0"/>
        <w:autoSpaceDN w:val="0"/>
        <w:adjustRightInd w:val="0"/>
        <w:spacing w:after="0" w:line="240" w:lineRule="auto"/>
        <w:rPr>
          <w:rFonts w:cstheme="minorHAnsi"/>
          <w:b/>
          <w:bCs/>
          <w:sz w:val="24"/>
          <w:szCs w:val="24"/>
        </w:rPr>
      </w:pPr>
      <w:r w:rsidRPr="00375D5A">
        <w:rPr>
          <w:rFonts w:cstheme="minorHAnsi"/>
          <w:b/>
          <w:bCs/>
          <w:sz w:val="24"/>
          <w:szCs w:val="24"/>
        </w:rPr>
        <w:t>06</w:t>
      </w:r>
      <w:r w:rsidR="00B63BA3" w:rsidRPr="00375D5A">
        <w:rPr>
          <w:rFonts w:cstheme="minorHAnsi"/>
          <w:b/>
          <w:bCs/>
          <w:sz w:val="24"/>
          <w:szCs w:val="24"/>
        </w:rPr>
        <w:t>. Opredelitev statusa glavni delodajalec (23. člen ZDoh-2V)</w:t>
      </w:r>
    </w:p>
    <w:p w14:paraId="5432790D" w14:textId="77777777" w:rsidR="00B63BA3" w:rsidRPr="00375D5A" w:rsidRDefault="00B63BA3" w:rsidP="00B63BA3">
      <w:pPr>
        <w:autoSpaceDE w:val="0"/>
        <w:autoSpaceDN w:val="0"/>
        <w:adjustRightInd w:val="0"/>
        <w:spacing w:after="0" w:line="240" w:lineRule="auto"/>
        <w:rPr>
          <w:rFonts w:cstheme="minorHAnsi"/>
          <w:b/>
          <w:bCs/>
          <w:sz w:val="24"/>
          <w:szCs w:val="24"/>
        </w:rPr>
      </w:pPr>
    </w:p>
    <w:p w14:paraId="5B5A164B" w14:textId="19E7AF93" w:rsidR="00B63BA3" w:rsidRPr="00375D5A" w:rsidRDefault="00B63BA3" w:rsidP="00B63BA3">
      <w:pPr>
        <w:autoSpaceDE w:val="0"/>
        <w:autoSpaceDN w:val="0"/>
        <w:adjustRightInd w:val="0"/>
        <w:spacing w:after="0" w:line="240" w:lineRule="auto"/>
        <w:rPr>
          <w:rFonts w:cstheme="minorHAnsi"/>
          <w:sz w:val="24"/>
          <w:szCs w:val="24"/>
        </w:rPr>
      </w:pPr>
      <w:r w:rsidRPr="00375D5A">
        <w:rPr>
          <w:rFonts w:cstheme="minorHAnsi"/>
          <w:sz w:val="24"/>
          <w:szCs w:val="24"/>
        </w:rPr>
        <w:t>V drugem odstavku 127. člena ZDoh-2 je dodano določilo, po katerem delodajalec kot plačnik davka pozove delavca - zavezanca k opredelitvi statusa, ali je njegov glavni delodajalec ali ne. Kot glavni delodajalec se šteje tisti, pri katerem zavezanec dosega pretežni del dohodka iz delovnega razmerja (ne glede na to ali gre za polni delovni čas, krajši delovni čas ali dopolnilno zaposlitev).</w:t>
      </w:r>
    </w:p>
    <w:p w14:paraId="5CA6F384" w14:textId="12B180C3" w:rsidR="00B63BA3" w:rsidRPr="00375D5A" w:rsidRDefault="00B63BA3" w:rsidP="00B63BA3">
      <w:pPr>
        <w:autoSpaceDE w:val="0"/>
        <w:autoSpaceDN w:val="0"/>
        <w:adjustRightInd w:val="0"/>
        <w:spacing w:after="0" w:line="240" w:lineRule="auto"/>
        <w:rPr>
          <w:rFonts w:cstheme="minorHAnsi"/>
          <w:sz w:val="24"/>
          <w:szCs w:val="24"/>
        </w:rPr>
      </w:pPr>
      <w:r w:rsidRPr="00375D5A">
        <w:rPr>
          <w:rFonts w:cstheme="minorHAnsi"/>
          <w:sz w:val="24"/>
          <w:szCs w:val="24"/>
        </w:rPr>
        <w:t xml:space="preserve">Zakon tudi nalaga zavezancu obveznost, da delodajalca obvešča o spremembi tega statusa. Določeno pravilo, da delodajalci kot plačniki davka akontacijo dohodnino od dohodkov iz </w:t>
      </w:r>
      <w:r w:rsidRPr="00375D5A">
        <w:rPr>
          <w:rFonts w:cstheme="minorHAnsi"/>
          <w:sz w:val="24"/>
          <w:szCs w:val="24"/>
        </w:rPr>
        <w:lastRenderedPageBreak/>
        <w:t>delovnega razmerja izračunavajo na dva načina, kot glavni delodajalec (po stopnjah dohodnine in lestvici kot to določa drugi odstavek 127. člena ZDoh-2) ali kot delodajalec, pri katerem zavezanec ne dosegajo pretežni del dohodka (po 25 % stopnji od davčne osnove kot to določa šesti odstavek ZDoh-2), ima namen doseči čim večjo usklajenost med izračunano in odtegnjeno akontacijo dohodnine med letom in odmerjeno dohodnino na letni ravni. Predpogoj za pravilno izračunano in</w:t>
      </w:r>
      <w:r w:rsidR="00B94E6E">
        <w:rPr>
          <w:rFonts w:cstheme="minorHAnsi"/>
          <w:sz w:val="24"/>
          <w:szCs w:val="24"/>
        </w:rPr>
        <w:t xml:space="preserve"> </w:t>
      </w:r>
      <w:r w:rsidRPr="00375D5A">
        <w:rPr>
          <w:rFonts w:cstheme="minorHAnsi"/>
          <w:sz w:val="24"/>
          <w:szCs w:val="24"/>
        </w:rPr>
        <w:t>odtegnjeno akontacijo dohodnine pa je, da delodajalec ve, ali je zavezančev glavni delodajalec ali ne, torej ali pri njem dosega pretežni del dohodka ali ne. Dopolnitev drugega odstavka 127. Člena ZDoh-2, da delodajalec, ki je plačnik davka, zavezanca pozove k opredelitvi po statusu z vidika glavnega delodajalca, je opozorilne narave, da se delodajalca opozori, da je pomembno za pravilni izračun akontacije dohodnine, da pozna svoj status, ki ga lahko pravilno določi le s pomočjo zavezanca, ter da se zavezancu naloži obveznost informiranja delodajalca v zvezi s tem. Na ta način je zagotovljena tudi večja pravna varnost oziroma nedvoumnost pri razreševanju sporov</w:t>
      </w:r>
      <w:r w:rsidR="00B94E6E">
        <w:rPr>
          <w:rFonts w:cstheme="minorHAnsi"/>
          <w:sz w:val="24"/>
          <w:szCs w:val="24"/>
        </w:rPr>
        <w:t xml:space="preserve"> </w:t>
      </w:r>
      <w:r w:rsidRPr="00375D5A">
        <w:rPr>
          <w:rFonts w:cstheme="minorHAnsi"/>
          <w:sz w:val="24"/>
          <w:szCs w:val="24"/>
        </w:rPr>
        <w:t>glede izračuna akontacije dohodnine.</w:t>
      </w:r>
    </w:p>
    <w:p w14:paraId="0F4B76FB" w14:textId="77777777" w:rsidR="00B63BA3" w:rsidRPr="00375D5A" w:rsidRDefault="00B63BA3" w:rsidP="00B63BA3">
      <w:pPr>
        <w:autoSpaceDE w:val="0"/>
        <w:autoSpaceDN w:val="0"/>
        <w:adjustRightInd w:val="0"/>
        <w:spacing w:after="0" w:line="240" w:lineRule="auto"/>
        <w:rPr>
          <w:rFonts w:cstheme="minorHAnsi"/>
          <w:sz w:val="24"/>
          <w:szCs w:val="24"/>
        </w:rPr>
      </w:pPr>
    </w:p>
    <w:p w14:paraId="1DF40810" w14:textId="3B811F31" w:rsidR="00B63BA3" w:rsidRPr="00375D5A" w:rsidRDefault="00DB5401" w:rsidP="00B63BA3">
      <w:pPr>
        <w:autoSpaceDE w:val="0"/>
        <w:autoSpaceDN w:val="0"/>
        <w:adjustRightInd w:val="0"/>
        <w:spacing w:after="0" w:line="240" w:lineRule="auto"/>
        <w:rPr>
          <w:rFonts w:cstheme="minorHAnsi"/>
          <w:b/>
          <w:bCs/>
          <w:sz w:val="24"/>
          <w:szCs w:val="24"/>
        </w:rPr>
      </w:pPr>
      <w:r w:rsidRPr="00375D5A">
        <w:rPr>
          <w:rFonts w:cstheme="minorHAnsi"/>
          <w:b/>
          <w:bCs/>
          <w:sz w:val="24"/>
          <w:szCs w:val="24"/>
        </w:rPr>
        <w:t>07</w:t>
      </w:r>
      <w:r w:rsidR="00B63BA3" w:rsidRPr="00375D5A">
        <w:rPr>
          <w:rFonts w:cstheme="minorHAnsi"/>
          <w:b/>
          <w:bCs/>
          <w:sz w:val="24"/>
          <w:szCs w:val="24"/>
        </w:rPr>
        <w:t>. Spremembe zneska splošne olajšave in sprememba izračuna dodatne splošne olajšave (19., 23., 24. člen ZDoh-2V)</w:t>
      </w:r>
    </w:p>
    <w:p w14:paraId="5C85004F" w14:textId="77777777" w:rsidR="00B63BA3" w:rsidRPr="00375D5A" w:rsidRDefault="00B63BA3" w:rsidP="00B63BA3">
      <w:pPr>
        <w:autoSpaceDE w:val="0"/>
        <w:autoSpaceDN w:val="0"/>
        <w:adjustRightInd w:val="0"/>
        <w:spacing w:after="0" w:line="240" w:lineRule="auto"/>
        <w:rPr>
          <w:rFonts w:cstheme="minorHAnsi"/>
          <w:b/>
          <w:bCs/>
          <w:sz w:val="24"/>
          <w:szCs w:val="24"/>
        </w:rPr>
      </w:pPr>
    </w:p>
    <w:p w14:paraId="7219A216" w14:textId="1EDA4F0A" w:rsidR="00B63BA3" w:rsidRPr="00375D5A" w:rsidRDefault="00B63BA3" w:rsidP="00B63BA3">
      <w:pPr>
        <w:autoSpaceDE w:val="0"/>
        <w:autoSpaceDN w:val="0"/>
        <w:adjustRightInd w:val="0"/>
        <w:spacing w:after="0" w:line="240" w:lineRule="auto"/>
        <w:rPr>
          <w:rFonts w:cstheme="minorHAnsi"/>
          <w:sz w:val="24"/>
          <w:szCs w:val="24"/>
        </w:rPr>
      </w:pPr>
      <w:r w:rsidRPr="00375D5A">
        <w:rPr>
          <w:rFonts w:cstheme="minorHAnsi"/>
          <w:sz w:val="24"/>
          <w:szCs w:val="24"/>
        </w:rPr>
        <w:t xml:space="preserve">Splošna olajšava, ki se prizna vsakemu rezidentu, določena v prvem odstavku 111. člena ZDoh-2, se poviša od 3.302,70 evro letno na 3.500 evrov letno. Zaradi določitve enotnega </w:t>
      </w:r>
      <w:bookmarkStart w:id="0" w:name="_GoBack"/>
      <w:bookmarkEnd w:id="0"/>
      <w:r w:rsidRPr="00375D5A">
        <w:rPr>
          <w:rFonts w:cstheme="minorHAnsi"/>
          <w:sz w:val="24"/>
          <w:szCs w:val="24"/>
        </w:rPr>
        <w:t>mehanizma določanja dodatne splošne olajšave se drugi odstavek črta, tretji odstavek 111. člena pa spremeni. Vsi zavezanci, ki prejemajo skupne dohodke do višine 13.316,83 evrov, so tako upravičeni do dodatne splošne olajšave, ki se linearno spreminja v odvisnosti od višine skupnega dohodka (nižji</w:t>
      </w:r>
      <w:r w:rsidR="00765F42">
        <w:rPr>
          <w:rFonts w:cstheme="minorHAnsi"/>
          <w:sz w:val="24"/>
          <w:szCs w:val="24"/>
        </w:rPr>
        <w:t xml:space="preserve"> </w:t>
      </w:r>
      <w:r w:rsidRPr="00375D5A">
        <w:rPr>
          <w:rFonts w:cstheme="minorHAnsi"/>
          <w:sz w:val="24"/>
          <w:szCs w:val="24"/>
        </w:rPr>
        <w:t>je dohodek, višja je ta olajšava). Dodatna splošna olajšava se določi z uporabo naslednje enačbe: · 18.700,38 evrov – 1,40427 x skupni dohodek.</w:t>
      </w:r>
    </w:p>
    <w:p w14:paraId="5721C31F" w14:textId="590F4A94" w:rsidR="00B63BA3" w:rsidRPr="00375D5A" w:rsidRDefault="00B63BA3" w:rsidP="00B63BA3">
      <w:pPr>
        <w:autoSpaceDE w:val="0"/>
        <w:autoSpaceDN w:val="0"/>
        <w:adjustRightInd w:val="0"/>
        <w:spacing w:after="0" w:line="240" w:lineRule="auto"/>
        <w:rPr>
          <w:rFonts w:cstheme="minorHAnsi"/>
          <w:sz w:val="24"/>
          <w:szCs w:val="24"/>
        </w:rPr>
      </w:pPr>
      <w:r w:rsidRPr="00375D5A">
        <w:rPr>
          <w:rFonts w:cstheme="minorHAnsi"/>
          <w:sz w:val="24"/>
          <w:szCs w:val="24"/>
        </w:rPr>
        <w:t>Pri letni odmeri dohodnine se torej vsakemu zavezancu – rezidentu prizna splošna olajšava glede na višino skupnega dohodka, in sicer:</w:t>
      </w:r>
    </w:p>
    <w:p w14:paraId="3AACE902" w14:textId="332C96A2" w:rsidR="00B63BA3" w:rsidRPr="00375D5A" w:rsidRDefault="00B63BA3" w:rsidP="00B63BA3">
      <w:pPr>
        <w:autoSpaceDE w:val="0"/>
        <w:autoSpaceDN w:val="0"/>
        <w:adjustRightInd w:val="0"/>
        <w:spacing w:after="0" w:line="240" w:lineRule="auto"/>
        <w:rPr>
          <w:rFonts w:cstheme="minorHAnsi"/>
          <w:sz w:val="24"/>
          <w:szCs w:val="24"/>
        </w:rPr>
      </w:pPr>
    </w:p>
    <w:tbl>
      <w:tblPr>
        <w:tblW w:w="8639" w:type="dxa"/>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880"/>
        <w:gridCol w:w="1986"/>
        <w:gridCol w:w="4773"/>
      </w:tblGrid>
      <w:tr w:rsidR="00E8779A" w:rsidRPr="00375D5A" w14:paraId="701A28F3" w14:textId="77777777" w:rsidTr="00294738">
        <w:trPr>
          <w:tblCellSpacing w:w="7" w:type="dxa"/>
        </w:trPr>
        <w:tc>
          <w:tcPr>
            <w:tcW w:w="2221" w:type="pct"/>
            <w:gridSpan w:val="2"/>
            <w:tcBorders>
              <w:top w:val="outset" w:sz="6" w:space="0" w:color="auto"/>
              <w:left w:val="outset" w:sz="6" w:space="0" w:color="auto"/>
              <w:bottom w:val="outset" w:sz="6" w:space="0" w:color="auto"/>
              <w:right w:val="outset" w:sz="6" w:space="0" w:color="auto"/>
            </w:tcBorders>
            <w:vAlign w:val="center"/>
          </w:tcPr>
          <w:p w14:paraId="501916D4" w14:textId="77777777" w:rsidR="00E8779A" w:rsidRPr="00375D5A" w:rsidRDefault="00E8779A" w:rsidP="00294738">
            <w:pPr>
              <w:jc w:val="center"/>
              <w:rPr>
                <w:rFonts w:cstheme="minorHAnsi"/>
                <w:color w:val="323232"/>
                <w:sz w:val="24"/>
                <w:szCs w:val="24"/>
              </w:rPr>
            </w:pPr>
            <w:r w:rsidRPr="00375D5A">
              <w:rPr>
                <w:rStyle w:val="Krepko"/>
                <w:rFonts w:cstheme="minorHAnsi"/>
                <w:color w:val="323232"/>
                <w:sz w:val="24"/>
                <w:szCs w:val="24"/>
              </w:rPr>
              <w:t>Če znaša skupni dohodek v eurih</w:t>
            </w:r>
          </w:p>
        </w:tc>
        <w:tc>
          <w:tcPr>
            <w:tcW w:w="2755" w:type="pct"/>
            <w:tcBorders>
              <w:top w:val="outset" w:sz="6" w:space="0" w:color="auto"/>
              <w:left w:val="outset" w:sz="6" w:space="0" w:color="auto"/>
              <w:bottom w:val="outset" w:sz="6" w:space="0" w:color="auto"/>
              <w:right w:val="outset" w:sz="6" w:space="0" w:color="auto"/>
            </w:tcBorders>
            <w:vAlign w:val="center"/>
          </w:tcPr>
          <w:p w14:paraId="6D8DB308" w14:textId="77777777" w:rsidR="00E8779A" w:rsidRPr="00375D5A" w:rsidRDefault="00E8779A" w:rsidP="00294738">
            <w:pPr>
              <w:jc w:val="center"/>
              <w:rPr>
                <w:rFonts w:cstheme="minorHAnsi"/>
                <w:color w:val="323232"/>
                <w:sz w:val="24"/>
                <w:szCs w:val="24"/>
              </w:rPr>
            </w:pPr>
            <w:r w:rsidRPr="00375D5A">
              <w:rPr>
                <w:rStyle w:val="Krepko"/>
                <w:rFonts w:cstheme="minorHAnsi"/>
                <w:color w:val="323232"/>
                <w:sz w:val="24"/>
                <w:szCs w:val="24"/>
              </w:rPr>
              <w:t>Znaša splošna olajšava v eurih</w:t>
            </w:r>
          </w:p>
        </w:tc>
      </w:tr>
      <w:tr w:rsidR="00E8779A" w:rsidRPr="00375D5A" w14:paraId="2B9D6681" w14:textId="77777777" w:rsidTr="00294738">
        <w:trPr>
          <w:tblCellSpacing w:w="7" w:type="dxa"/>
        </w:trPr>
        <w:tc>
          <w:tcPr>
            <w:tcW w:w="1078" w:type="pct"/>
            <w:tcBorders>
              <w:top w:val="outset" w:sz="6" w:space="0" w:color="auto"/>
              <w:left w:val="outset" w:sz="6" w:space="0" w:color="auto"/>
              <w:bottom w:val="outset" w:sz="6" w:space="0" w:color="auto"/>
              <w:right w:val="outset" w:sz="6" w:space="0" w:color="auto"/>
            </w:tcBorders>
            <w:vAlign w:val="center"/>
          </w:tcPr>
          <w:p w14:paraId="36A1D39C" w14:textId="77777777" w:rsidR="00E8779A" w:rsidRPr="00375D5A" w:rsidRDefault="00E8779A" w:rsidP="00294738">
            <w:pPr>
              <w:jc w:val="center"/>
              <w:rPr>
                <w:rFonts w:cstheme="minorHAnsi"/>
                <w:color w:val="323232"/>
                <w:sz w:val="24"/>
                <w:szCs w:val="24"/>
              </w:rPr>
            </w:pPr>
            <w:r w:rsidRPr="00375D5A">
              <w:rPr>
                <w:rStyle w:val="Krepko"/>
                <w:rFonts w:cstheme="minorHAnsi"/>
                <w:color w:val="323232"/>
                <w:sz w:val="24"/>
                <w:szCs w:val="24"/>
              </w:rPr>
              <w:t>Nad</w:t>
            </w:r>
          </w:p>
        </w:tc>
        <w:tc>
          <w:tcPr>
            <w:tcW w:w="1135" w:type="pct"/>
            <w:tcBorders>
              <w:top w:val="outset" w:sz="6" w:space="0" w:color="auto"/>
              <w:left w:val="outset" w:sz="6" w:space="0" w:color="auto"/>
              <w:bottom w:val="outset" w:sz="6" w:space="0" w:color="auto"/>
              <w:right w:val="outset" w:sz="6" w:space="0" w:color="auto"/>
            </w:tcBorders>
            <w:vAlign w:val="center"/>
          </w:tcPr>
          <w:p w14:paraId="793FDFB6" w14:textId="77777777" w:rsidR="00E8779A" w:rsidRPr="00375D5A" w:rsidRDefault="00E8779A" w:rsidP="00294738">
            <w:pPr>
              <w:jc w:val="center"/>
              <w:rPr>
                <w:rFonts w:cstheme="minorHAnsi"/>
                <w:color w:val="323232"/>
                <w:sz w:val="24"/>
                <w:szCs w:val="24"/>
              </w:rPr>
            </w:pPr>
            <w:r w:rsidRPr="00375D5A">
              <w:rPr>
                <w:rStyle w:val="Krepko"/>
                <w:rFonts w:cstheme="minorHAnsi"/>
                <w:color w:val="323232"/>
                <w:sz w:val="24"/>
                <w:szCs w:val="24"/>
              </w:rPr>
              <w:t>Do</w:t>
            </w:r>
          </w:p>
        </w:tc>
        <w:tc>
          <w:tcPr>
            <w:tcW w:w="2755" w:type="pct"/>
            <w:tcBorders>
              <w:top w:val="outset" w:sz="6" w:space="0" w:color="auto"/>
              <w:left w:val="outset" w:sz="6" w:space="0" w:color="auto"/>
              <w:bottom w:val="outset" w:sz="6" w:space="0" w:color="auto"/>
              <w:right w:val="outset" w:sz="6" w:space="0" w:color="auto"/>
            </w:tcBorders>
            <w:vAlign w:val="center"/>
          </w:tcPr>
          <w:p w14:paraId="2276335E" w14:textId="77777777" w:rsidR="00E8779A" w:rsidRPr="00375D5A" w:rsidRDefault="00E8779A" w:rsidP="00294738">
            <w:pPr>
              <w:jc w:val="center"/>
              <w:rPr>
                <w:rFonts w:cstheme="minorHAnsi"/>
                <w:color w:val="323232"/>
                <w:sz w:val="24"/>
                <w:szCs w:val="24"/>
              </w:rPr>
            </w:pPr>
            <w:r w:rsidRPr="00375D5A">
              <w:rPr>
                <w:rFonts w:cstheme="minorHAnsi"/>
                <w:color w:val="323232"/>
                <w:sz w:val="24"/>
                <w:szCs w:val="24"/>
              </w:rPr>
              <w:t> </w:t>
            </w:r>
          </w:p>
        </w:tc>
      </w:tr>
      <w:tr w:rsidR="00E8779A" w:rsidRPr="00375D5A" w14:paraId="7AA92911" w14:textId="77777777" w:rsidTr="00294738">
        <w:trPr>
          <w:tblCellSpacing w:w="7" w:type="dxa"/>
        </w:trPr>
        <w:tc>
          <w:tcPr>
            <w:tcW w:w="1078" w:type="pct"/>
            <w:tcBorders>
              <w:top w:val="outset" w:sz="6" w:space="0" w:color="auto"/>
              <w:left w:val="outset" w:sz="6" w:space="0" w:color="auto"/>
              <w:bottom w:val="outset" w:sz="6" w:space="0" w:color="auto"/>
              <w:right w:val="outset" w:sz="6" w:space="0" w:color="auto"/>
            </w:tcBorders>
            <w:vAlign w:val="center"/>
          </w:tcPr>
          <w:p w14:paraId="50723608" w14:textId="77777777" w:rsidR="00E8779A" w:rsidRPr="00375D5A" w:rsidRDefault="00E8779A" w:rsidP="00294738">
            <w:pPr>
              <w:jc w:val="right"/>
              <w:rPr>
                <w:rFonts w:cstheme="minorHAnsi"/>
                <w:color w:val="323232"/>
                <w:sz w:val="24"/>
                <w:szCs w:val="24"/>
              </w:rPr>
            </w:pPr>
          </w:p>
        </w:tc>
        <w:tc>
          <w:tcPr>
            <w:tcW w:w="1135" w:type="pct"/>
            <w:tcBorders>
              <w:top w:val="outset" w:sz="6" w:space="0" w:color="auto"/>
              <w:left w:val="outset" w:sz="6" w:space="0" w:color="auto"/>
              <w:bottom w:val="outset" w:sz="6" w:space="0" w:color="auto"/>
              <w:right w:val="outset" w:sz="6" w:space="0" w:color="auto"/>
            </w:tcBorders>
            <w:vAlign w:val="center"/>
          </w:tcPr>
          <w:p w14:paraId="488FC293"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13.316,83</w:t>
            </w:r>
          </w:p>
        </w:tc>
        <w:tc>
          <w:tcPr>
            <w:tcW w:w="2755" w:type="pct"/>
            <w:tcBorders>
              <w:top w:val="outset" w:sz="6" w:space="0" w:color="auto"/>
              <w:left w:val="outset" w:sz="6" w:space="0" w:color="auto"/>
              <w:bottom w:val="outset" w:sz="6" w:space="0" w:color="auto"/>
              <w:right w:val="outset" w:sz="6" w:space="0" w:color="auto"/>
            </w:tcBorders>
            <w:vAlign w:val="center"/>
          </w:tcPr>
          <w:p w14:paraId="4E2849EF" w14:textId="77777777" w:rsidR="00E8779A" w:rsidRPr="00375D5A" w:rsidRDefault="00E8779A" w:rsidP="00294738">
            <w:pPr>
              <w:jc w:val="center"/>
              <w:rPr>
                <w:rFonts w:cstheme="minorHAnsi"/>
                <w:color w:val="323232"/>
                <w:sz w:val="24"/>
                <w:szCs w:val="24"/>
              </w:rPr>
            </w:pPr>
            <w:r w:rsidRPr="00375D5A">
              <w:rPr>
                <w:rFonts w:cstheme="minorHAnsi"/>
                <w:color w:val="323232"/>
                <w:sz w:val="24"/>
                <w:szCs w:val="24"/>
              </w:rPr>
              <w:t xml:space="preserve">   3.500,00 + (18.700,38 - 1,40427 x skupni dohodek)</w:t>
            </w:r>
          </w:p>
        </w:tc>
      </w:tr>
      <w:tr w:rsidR="00E8779A" w:rsidRPr="00375D5A" w14:paraId="262469CC" w14:textId="77777777" w:rsidTr="00294738">
        <w:trPr>
          <w:tblCellSpacing w:w="7" w:type="dxa"/>
        </w:trPr>
        <w:tc>
          <w:tcPr>
            <w:tcW w:w="1078" w:type="pct"/>
            <w:tcBorders>
              <w:top w:val="outset" w:sz="6" w:space="0" w:color="auto"/>
              <w:left w:val="outset" w:sz="6" w:space="0" w:color="auto"/>
              <w:bottom w:val="outset" w:sz="6" w:space="0" w:color="auto"/>
              <w:right w:val="outset" w:sz="6" w:space="0" w:color="auto"/>
            </w:tcBorders>
            <w:vAlign w:val="center"/>
          </w:tcPr>
          <w:p w14:paraId="469969CF"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13.316,83</w:t>
            </w:r>
          </w:p>
        </w:tc>
        <w:tc>
          <w:tcPr>
            <w:tcW w:w="1135" w:type="pct"/>
            <w:tcBorders>
              <w:top w:val="outset" w:sz="6" w:space="0" w:color="auto"/>
              <w:left w:val="outset" w:sz="6" w:space="0" w:color="auto"/>
              <w:bottom w:val="outset" w:sz="6" w:space="0" w:color="auto"/>
              <w:right w:val="outset" w:sz="6" w:space="0" w:color="auto"/>
            </w:tcBorders>
            <w:vAlign w:val="center"/>
          </w:tcPr>
          <w:p w14:paraId="067D1520" w14:textId="77777777" w:rsidR="00E8779A" w:rsidRPr="00375D5A" w:rsidRDefault="00E8779A" w:rsidP="00294738">
            <w:pPr>
              <w:jc w:val="right"/>
              <w:rPr>
                <w:rFonts w:cstheme="minorHAnsi"/>
                <w:color w:val="323232"/>
                <w:sz w:val="24"/>
                <w:szCs w:val="24"/>
              </w:rPr>
            </w:pPr>
          </w:p>
        </w:tc>
        <w:tc>
          <w:tcPr>
            <w:tcW w:w="2755" w:type="pct"/>
            <w:tcBorders>
              <w:top w:val="outset" w:sz="6" w:space="0" w:color="auto"/>
              <w:left w:val="outset" w:sz="6" w:space="0" w:color="auto"/>
              <w:bottom w:val="outset" w:sz="6" w:space="0" w:color="auto"/>
              <w:right w:val="outset" w:sz="6" w:space="0" w:color="auto"/>
            </w:tcBorders>
            <w:vAlign w:val="center"/>
          </w:tcPr>
          <w:p w14:paraId="07A027D2" w14:textId="77777777" w:rsidR="00E8779A" w:rsidRPr="00375D5A" w:rsidRDefault="00E8779A" w:rsidP="00294738">
            <w:pPr>
              <w:jc w:val="center"/>
              <w:rPr>
                <w:rFonts w:cstheme="minorHAnsi"/>
                <w:color w:val="323232"/>
                <w:sz w:val="24"/>
                <w:szCs w:val="24"/>
              </w:rPr>
            </w:pPr>
            <w:r w:rsidRPr="00375D5A">
              <w:rPr>
                <w:rFonts w:cstheme="minorHAnsi"/>
                <w:color w:val="323232"/>
                <w:sz w:val="24"/>
                <w:szCs w:val="24"/>
              </w:rPr>
              <w:t>3.500,00</w:t>
            </w:r>
          </w:p>
        </w:tc>
      </w:tr>
    </w:tbl>
    <w:p w14:paraId="517CD647" w14:textId="3D353ACF" w:rsidR="005D1614" w:rsidRPr="00375D5A" w:rsidRDefault="005D1614" w:rsidP="005D1614">
      <w:pPr>
        <w:autoSpaceDE w:val="0"/>
        <w:autoSpaceDN w:val="0"/>
        <w:adjustRightInd w:val="0"/>
        <w:spacing w:after="0" w:line="240" w:lineRule="auto"/>
        <w:rPr>
          <w:rFonts w:cstheme="minorHAnsi"/>
          <w:sz w:val="24"/>
          <w:szCs w:val="24"/>
        </w:rPr>
      </w:pPr>
    </w:p>
    <w:p w14:paraId="66E1AFA5" w14:textId="62050C27" w:rsidR="005D1614" w:rsidRPr="00375D5A"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V skladu s to spremembo se spremeni tudi tretji odstavek 127. člena ZDoh-2, kjer je navedeno, kaj se upošteva pri izračunu akontacije dohodnine od dohodka iz delovnega razmerja, doseženega pri delodajalcu, pri katerem zavezanec dosega pretežni del dohodka iz delovnega razmerja (pri glavnem delodajalcu). Pri izračunu akontacije dohodnine se upošteva 1/12 zneska olajšave iz prvega odstavka 111. člena (kar je 291,67 evrov), prvega odstavka 112. člena in iz 114. člena ZDoh-2. Upošteva se tudi 1/12 zneska olajšave, ugotovljenega z uporabo enačbe iz tretjega</w:t>
      </w:r>
      <w:r w:rsidR="00765F42">
        <w:rPr>
          <w:rFonts w:cstheme="minorHAnsi"/>
          <w:sz w:val="24"/>
          <w:szCs w:val="24"/>
        </w:rPr>
        <w:t xml:space="preserve"> </w:t>
      </w:r>
      <w:r w:rsidRPr="00375D5A">
        <w:rPr>
          <w:rFonts w:cstheme="minorHAnsi"/>
          <w:sz w:val="24"/>
          <w:szCs w:val="24"/>
        </w:rPr>
        <w:t xml:space="preserve">odstavka 111. člena tega zakona ob upoštevanju dohodka iz drugega odstavka tega člena, ki ga izplača glavni delodajalec, preračunanega na letno raven, če ta dohodek ne presega 1/12 dohodka iz tretjega odstavka 111. člena ZDoh-2. </w:t>
      </w:r>
      <w:r w:rsidRPr="00375D5A">
        <w:rPr>
          <w:rFonts w:cstheme="minorHAnsi"/>
          <w:sz w:val="24"/>
          <w:szCs w:val="24"/>
        </w:rPr>
        <w:lastRenderedPageBreak/>
        <w:t>Upoštevaje navedeno se dodatna splošna olajšava za mesečni dohodek nad 1.109,74 (13.316,83/12) evrov izračun po enačbi:</w:t>
      </w:r>
    </w:p>
    <w:p w14:paraId="7B1C401A" w14:textId="77777777" w:rsidR="005D1614" w:rsidRPr="00375D5A"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 1.558,37 evrov - 1,40427 x bruto mesečni dohodek</w:t>
      </w:r>
    </w:p>
    <w:p w14:paraId="3E1DE8F2" w14:textId="0B3B1E42" w:rsidR="005D1614" w:rsidRPr="00375D5A"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Pri izračunu mesečne akontacije dohodnine od dohodkov iz delovnega razmerja glavni delodajalec torej upošteva naslednjo splošno olajšavo:</w:t>
      </w:r>
    </w:p>
    <w:p w14:paraId="76047415" w14:textId="23E64CFB" w:rsidR="005D1614" w:rsidRPr="00375D5A" w:rsidRDefault="005D1614" w:rsidP="005D1614">
      <w:pPr>
        <w:autoSpaceDE w:val="0"/>
        <w:autoSpaceDN w:val="0"/>
        <w:adjustRightInd w:val="0"/>
        <w:spacing w:after="0" w:line="240" w:lineRule="auto"/>
        <w:rPr>
          <w:rFonts w:cstheme="minorHAnsi"/>
          <w:sz w:val="24"/>
          <w:szCs w:val="24"/>
        </w:rPr>
      </w:pPr>
    </w:p>
    <w:tbl>
      <w:tblPr>
        <w:tblW w:w="8781" w:type="dxa"/>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877"/>
        <w:gridCol w:w="2007"/>
        <w:gridCol w:w="4897"/>
      </w:tblGrid>
      <w:tr w:rsidR="00E8779A" w:rsidRPr="00375D5A" w14:paraId="1BB6A1A6" w14:textId="77777777" w:rsidTr="00E8779A">
        <w:trPr>
          <w:tblCellSpacing w:w="7" w:type="dxa"/>
        </w:trPr>
        <w:tc>
          <w:tcPr>
            <w:tcW w:w="2195" w:type="pct"/>
            <w:gridSpan w:val="2"/>
            <w:tcBorders>
              <w:top w:val="outset" w:sz="6" w:space="0" w:color="auto"/>
              <w:left w:val="outset" w:sz="6" w:space="0" w:color="auto"/>
              <w:bottom w:val="outset" w:sz="6" w:space="0" w:color="auto"/>
              <w:right w:val="outset" w:sz="6" w:space="0" w:color="auto"/>
            </w:tcBorders>
            <w:vAlign w:val="center"/>
          </w:tcPr>
          <w:p w14:paraId="35D75331" w14:textId="77777777" w:rsidR="00E8779A" w:rsidRPr="00375D5A" w:rsidRDefault="00E8779A" w:rsidP="00294738">
            <w:pPr>
              <w:jc w:val="center"/>
              <w:rPr>
                <w:rFonts w:cstheme="minorHAnsi"/>
                <w:color w:val="323232"/>
                <w:sz w:val="24"/>
                <w:szCs w:val="24"/>
              </w:rPr>
            </w:pPr>
            <w:r w:rsidRPr="00375D5A">
              <w:rPr>
                <w:rStyle w:val="Krepko"/>
                <w:rFonts w:cstheme="minorHAnsi"/>
                <w:color w:val="323232"/>
                <w:sz w:val="24"/>
                <w:szCs w:val="24"/>
              </w:rPr>
              <w:t>Če znaša mesečni bruto dohodek iz delovnega razmerja v eurih</w:t>
            </w:r>
          </w:p>
        </w:tc>
        <w:tc>
          <w:tcPr>
            <w:tcW w:w="2781" w:type="pct"/>
            <w:tcBorders>
              <w:top w:val="outset" w:sz="6" w:space="0" w:color="auto"/>
              <w:left w:val="outset" w:sz="6" w:space="0" w:color="auto"/>
              <w:bottom w:val="outset" w:sz="6" w:space="0" w:color="auto"/>
              <w:right w:val="outset" w:sz="6" w:space="0" w:color="auto"/>
            </w:tcBorders>
            <w:vAlign w:val="center"/>
          </w:tcPr>
          <w:p w14:paraId="209F5618" w14:textId="77777777" w:rsidR="00E8779A" w:rsidRPr="00375D5A" w:rsidRDefault="00E8779A" w:rsidP="00294738">
            <w:pPr>
              <w:jc w:val="center"/>
              <w:rPr>
                <w:rFonts w:cstheme="minorHAnsi"/>
                <w:color w:val="323232"/>
                <w:sz w:val="24"/>
                <w:szCs w:val="24"/>
              </w:rPr>
            </w:pPr>
            <w:r w:rsidRPr="00375D5A">
              <w:rPr>
                <w:rStyle w:val="Krepko"/>
                <w:rFonts w:cstheme="minorHAnsi"/>
                <w:color w:val="323232"/>
                <w:sz w:val="24"/>
                <w:szCs w:val="24"/>
              </w:rPr>
              <w:t>Znaša splošna olajšava v eurih</w:t>
            </w:r>
          </w:p>
        </w:tc>
      </w:tr>
      <w:tr w:rsidR="00E8779A" w:rsidRPr="00375D5A" w14:paraId="5BDC9203" w14:textId="77777777" w:rsidTr="00E8779A">
        <w:trPr>
          <w:tblCellSpacing w:w="7" w:type="dxa"/>
        </w:trPr>
        <w:tc>
          <w:tcPr>
            <w:tcW w:w="1058" w:type="pct"/>
            <w:tcBorders>
              <w:top w:val="outset" w:sz="6" w:space="0" w:color="auto"/>
              <w:left w:val="outset" w:sz="6" w:space="0" w:color="auto"/>
              <w:bottom w:val="outset" w:sz="6" w:space="0" w:color="auto"/>
              <w:right w:val="outset" w:sz="6" w:space="0" w:color="auto"/>
            </w:tcBorders>
            <w:vAlign w:val="center"/>
          </w:tcPr>
          <w:p w14:paraId="4864295B" w14:textId="1D17D9A2" w:rsidR="00E8779A" w:rsidRPr="000A53C5" w:rsidRDefault="000A53C5" w:rsidP="00294738">
            <w:pPr>
              <w:jc w:val="center"/>
              <w:rPr>
                <w:rFonts w:cstheme="minorHAnsi"/>
                <w:b/>
                <w:bCs/>
                <w:color w:val="323232"/>
                <w:sz w:val="24"/>
                <w:szCs w:val="24"/>
              </w:rPr>
            </w:pPr>
            <w:r>
              <w:rPr>
                <w:rFonts w:cstheme="minorHAnsi"/>
                <w:b/>
                <w:bCs/>
                <w:color w:val="323232"/>
                <w:sz w:val="24"/>
                <w:szCs w:val="24"/>
              </w:rPr>
              <w:t>Nad</w:t>
            </w:r>
          </w:p>
        </w:tc>
        <w:tc>
          <w:tcPr>
            <w:tcW w:w="1129" w:type="pct"/>
            <w:tcBorders>
              <w:top w:val="outset" w:sz="6" w:space="0" w:color="auto"/>
              <w:left w:val="outset" w:sz="6" w:space="0" w:color="auto"/>
              <w:bottom w:val="outset" w:sz="6" w:space="0" w:color="auto"/>
              <w:right w:val="outset" w:sz="6" w:space="0" w:color="auto"/>
            </w:tcBorders>
            <w:vAlign w:val="center"/>
          </w:tcPr>
          <w:p w14:paraId="45936FE9" w14:textId="77777777" w:rsidR="00E8779A" w:rsidRPr="00375D5A" w:rsidRDefault="00E8779A" w:rsidP="00294738">
            <w:pPr>
              <w:jc w:val="center"/>
              <w:rPr>
                <w:rFonts w:cstheme="minorHAnsi"/>
                <w:color w:val="323232"/>
                <w:sz w:val="24"/>
                <w:szCs w:val="24"/>
              </w:rPr>
            </w:pPr>
            <w:r w:rsidRPr="00375D5A">
              <w:rPr>
                <w:rStyle w:val="Krepko"/>
                <w:rFonts w:cstheme="minorHAnsi"/>
                <w:color w:val="323232"/>
                <w:sz w:val="24"/>
                <w:szCs w:val="24"/>
              </w:rPr>
              <w:t>Do</w:t>
            </w:r>
          </w:p>
        </w:tc>
        <w:tc>
          <w:tcPr>
            <w:tcW w:w="2781" w:type="pct"/>
            <w:tcBorders>
              <w:top w:val="outset" w:sz="6" w:space="0" w:color="auto"/>
              <w:left w:val="outset" w:sz="6" w:space="0" w:color="auto"/>
              <w:bottom w:val="outset" w:sz="6" w:space="0" w:color="auto"/>
              <w:right w:val="outset" w:sz="6" w:space="0" w:color="auto"/>
            </w:tcBorders>
            <w:vAlign w:val="center"/>
          </w:tcPr>
          <w:p w14:paraId="44390E0B" w14:textId="77777777" w:rsidR="00E8779A" w:rsidRPr="00375D5A" w:rsidRDefault="00E8779A" w:rsidP="00294738">
            <w:pPr>
              <w:jc w:val="center"/>
              <w:rPr>
                <w:rFonts w:cstheme="minorHAnsi"/>
                <w:color w:val="323232"/>
                <w:sz w:val="24"/>
                <w:szCs w:val="24"/>
              </w:rPr>
            </w:pPr>
            <w:r w:rsidRPr="00375D5A">
              <w:rPr>
                <w:rFonts w:cstheme="minorHAnsi"/>
                <w:color w:val="323232"/>
                <w:sz w:val="24"/>
                <w:szCs w:val="24"/>
              </w:rPr>
              <w:t> </w:t>
            </w:r>
          </w:p>
        </w:tc>
      </w:tr>
      <w:tr w:rsidR="00E8779A" w:rsidRPr="00375D5A" w14:paraId="4368D497" w14:textId="77777777" w:rsidTr="00E8779A">
        <w:trPr>
          <w:tblCellSpacing w:w="7" w:type="dxa"/>
        </w:trPr>
        <w:tc>
          <w:tcPr>
            <w:tcW w:w="1058" w:type="pct"/>
            <w:tcBorders>
              <w:top w:val="outset" w:sz="6" w:space="0" w:color="auto"/>
              <w:left w:val="outset" w:sz="6" w:space="0" w:color="auto"/>
              <w:bottom w:val="outset" w:sz="6" w:space="0" w:color="auto"/>
              <w:right w:val="outset" w:sz="6" w:space="0" w:color="auto"/>
            </w:tcBorders>
            <w:vAlign w:val="center"/>
          </w:tcPr>
          <w:p w14:paraId="37DA6B03" w14:textId="77777777" w:rsidR="00E8779A" w:rsidRPr="00375D5A" w:rsidRDefault="00E8779A" w:rsidP="00294738">
            <w:pPr>
              <w:jc w:val="right"/>
              <w:rPr>
                <w:rFonts w:cstheme="minorHAnsi"/>
                <w:color w:val="323232"/>
                <w:sz w:val="24"/>
                <w:szCs w:val="24"/>
              </w:rPr>
            </w:pPr>
          </w:p>
        </w:tc>
        <w:tc>
          <w:tcPr>
            <w:tcW w:w="1129" w:type="pct"/>
            <w:tcBorders>
              <w:top w:val="outset" w:sz="6" w:space="0" w:color="auto"/>
              <w:left w:val="outset" w:sz="6" w:space="0" w:color="auto"/>
              <w:bottom w:val="outset" w:sz="6" w:space="0" w:color="auto"/>
              <w:right w:val="outset" w:sz="6" w:space="0" w:color="auto"/>
            </w:tcBorders>
            <w:vAlign w:val="center"/>
          </w:tcPr>
          <w:p w14:paraId="51481779"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1.109,74</w:t>
            </w:r>
          </w:p>
        </w:tc>
        <w:tc>
          <w:tcPr>
            <w:tcW w:w="2781" w:type="pct"/>
            <w:tcBorders>
              <w:top w:val="outset" w:sz="6" w:space="0" w:color="auto"/>
              <w:left w:val="outset" w:sz="6" w:space="0" w:color="auto"/>
              <w:bottom w:val="outset" w:sz="6" w:space="0" w:color="auto"/>
              <w:right w:val="outset" w:sz="6" w:space="0" w:color="auto"/>
            </w:tcBorders>
            <w:vAlign w:val="center"/>
          </w:tcPr>
          <w:p w14:paraId="55B95E70" w14:textId="77777777" w:rsidR="00E8779A" w:rsidRPr="00375D5A" w:rsidRDefault="00E8779A" w:rsidP="00294738">
            <w:pPr>
              <w:jc w:val="center"/>
              <w:rPr>
                <w:rFonts w:cstheme="minorHAnsi"/>
                <w:color w:val="323232"/>
                <w:sz w:val="24"/>
                <w:szCs w:val="24"/>
              </w:rPr>
            </w:pPr>
            <w:r w:rsidRPr="00375D5A">
              <w:rPr>
                <w:rFonts w:cstheme="minorHAnsi"/>
                <w:color w:val="323232"/>
                <w:sz w:val="24"/>
                <w:szCs w:val="24"/>
              </w:rPr>
              <w:t xml:space="preserve">   291,67 + (1.558,37 - 1,40427 x bruto dohodek)</w:t>
            </w:r>
          </w:p>
        </w:tc>
      </w:tr>
      <w:tr w:rsidR="00E8779A" w:rsidRPr="00375D5A" w14:paraId="7915C851" w14:textId="77777777" w:rsidTr="00E8779A">
        <w:trPr>
          <w:tblCellSpacing w:w="7" w:type="dxa"/>
        </w:trPr>
        <w:tc>
          <w:tcPr>
            <w:tcW w:w="1058" w:type="pct"/>
            <w:tcBorders>
              <w:top w:val="outset" w:sz="6" w:space="0" w:color="auto"/>
              <w:left w:val="outset" w:sz="6" w:space="0" w:color="auto"/>
              <w:bottom w:val="outset" w:sz="6" w:space="0" w:color="auto"/>
              <w:right w:val="outset" w:sz="6" w:space="0" w:color="auto"/>
            </w:tcBorders>
            <w:vAlign w:val="center"/>
          </w:tcPr>
          <w:p w14:paraId="27B07FE5"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1.109,74</w:t>
            </w:r>
          </w:p>
        </w:tc>
        <w:tc>
          <w:tcPr>
            <w:tcW w:w="1129" w:type="pct"/>
            <w:tcBorders>
              <w:top w:val="outset" w:sz="6" w:space="0" w:color="auto"/>
              <w:left w:val="outset" w:sz="6" w:space="0" w:color="auto"/>
              <w:bottom w:val="outset" w:sz="6" w:space="0" w:color="auto"/>
              <w:right w:val="outset" w:sz="6" w:space="0" w:color="auto"/>
            </w:tcBorders>
            <w:vAlign w:val="center"/>
          </w:tcPr>
          <w:p w14:paraId="39274244" w14:textId="77777777" w:rsidR="00E8779A" w:rsidRPr="00375D5A" w:rsidRDefault="00E8779A" w:rsidP="00294738">
            <w:pPr>
              <w:jc w:val="right"/>
              <w:rPr>
                <w:rFonts w:cstheme="minorHAnsi"/>
                <w:color w:val="323232"/>
                <w:sz w:val="24"/>
                <w:szCs w:val="24"/>
              </w:rPr>
            </w:pPr>
          </w:p>
        </w:tc>
        <w:tc>
          <w:tcPr>
            <w:tcW w:w="2781" w:type="pct"/>
            <w:tcBorders>
              <w:top w:val="outset" w:sz="6" w:space="0" w:color="auto"/>
              <w:left w:val="outset" w:sz="6" w:space="0" w:color="auto"/>
              <w:bottom w:val="outset" w:sz="6" w:space="0" w:color="auto"/>
              <w:right w:val="outset" w:sz="6" w:space="0" w:color="auto"/>
            </w:tcBorders>
            <w:vAlign w:val="center"/>
          </w:tcPr>
          <w:p w14:paraId="32260EE2" w14:textId="77777777" w:rsidR="00E8779A" w:rsidRPr="00375D5A" w:rsidRDefault="00E8779A" w:rsidP="00294738">
            <w:pPr>
              <w:jc w:val="center"/>
              <w:rPr>
                <w:rFonts w:cstheme="minorHAnsi"/>
                <w:color w:val="323232"/>
                <w:sz w:val="24"/>
                <w:szCs w:val="24"/>
              </w:rPr>
            </w:pPr>
            <w:r w:rsidRPr="00375D5A">
              <w:rPr>
                <w:rFonts w:cstheme="minorHAnsi"/>
                <w:color w:val="323232"/>
                <w:sz w:val="24"/>
                <w:szCs w:val="24"/>
              </w:rPr>
              <w:t>291,67</w:t>
            </w:r>
          </w:p>
        </w:tc>
      </w:tr>
    </w:tbl>
    <w:p w14:paraId="53B2D1EC" w14:textId="77777777" w:rsidR="00E8779A" w:rsidRPr="00375D5A" w:rsidRDefault="00E8779A" w:rsidP="00E8779A">
      <w:pPr>
        <w:rPr>
          <w:rFonts w:cstheme="minorHAnsi"/>
          <w:sz w:val="24"/>
          <w:szCs w:val="24"/>
        </w:rPr>
      </w:pPr>
    </w:p>
    <w:p w14:paraId="064CA0E9" w14:textId="44C5C3D1" w:rsidR="005D1614" w:rsidRPr="00375D5A" w:rsidRDefault="005D1614" w:rsidP="005D1614">
      <w:pPr>
        <w:autoSpaceDE w:val="0"/>
        <w:autoSpaceDN w:val="0"/>
        <w:adjustRightInd w:val="0"/>
        <w:spacing w:after="0" w:line="240" w:lineRule="auto"/>
        <w:rPr>
          <w:rFonts w:cstheme="minorHAnsi"/>
          <w:sz w:val="24"/>
          <w:szCs w:val="24"/>
        </w:rPr>
      </w:pPr>
    </w:p>
    <w:p w14:paraId="2C6C93EB" w14:textId="2E3E2E41" w:rsidR="005D1614" w:rsidRPr="00375D5A"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Ob tem pa se zavezanec pri izračunu akontacije dohodnine od dohodka iz dohodka iz delovnega razmerja, ki ga izplača glavni delodajalec, lahko odloči, da se ne upošteva olajšava iz tretjega odstavka 111. člena ZDoh-2 (dodatna splošna olajšava), o čemer obvesti glavnega delodajalca (ta možnost je bila v zakonu že pred to novelo).</w:t>
      </w:r>
    </w:p>
    <w:p w14:paraId="0ACFDE8A" w14:textId="1A7C1DFC" w:rsidR="005D1614" w:rsidRPr="00375D5A"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V skladu z drugim odstavkom 131. člena ZDoh-2 se navedena splošna olajšava oziroma izračun dodatne splošne olajšave upošteva tudi v primeru izračuna akontacije dohodnine od drugega dohodka, ki ga zavezanec prejema redno mesečno (za tovrstni izračun akontacije dohodnine se odloči zavezanec sam).</w:t>
      </w:r>
    </w:p>
    <w:p w14:paraId="26970F3C" w14:textId="77777777" w:rsidR="005D1614" w:rsidRPr="00375D5A" w:rsidRDefault="005D1614" w:rsidP="005D1614">
      <w:pPr>
        <w:autoSpaceDE w:val="0"/>
        <w:autoSpaceDN w:val="0"/>
        <w:adjustRightInd w:val="0"/>
        <w:spacing w:after="0" w:line="240" w:lineRule="auto"/>
        <w:rPr>
          <w:rFonts w:cstheme="minorHAnsi"/>
          <w:sz w:val="24"/>
          <w:szCs w:val="24"/>
        </w:rPr>
      </w:pPr>
    </w:p>
    <w:p w14:paraId="63990369" w14:textId="04AD2ACE" w:rsidR="005D1614" w:rsidRPr="00375D5A" w:rsidRDefault="00E8779A" w:rsidP="005D1614">
      <w:pPr>
        <w:autoSpaceDE w:val="0"/>
        <w:autoSpaceDN w:val="0"/>
        <w:adjustRightInd w:val="0"/>
        <w:spacing w:after="0" w:line="240" w:lineRule="auto"/>
        <w:rPr>
          <w:rFonts w:cstheme="minorHAnsi"/>
          <w:b/>
          <w:bCs/>
          <w:sz w:val="24"/>
          <w:szCs w:val="24"/>
        </w:rPr>
      </w:pPr>
      <w:r w:rsidRPr="00375D5A">
        <w:rPr>
          <w:rFonts w:cstheme="minorHAnsi"/>
          <w:b/>
          <w:bCs/>
          <w:sz w:val="24"/>
          <w:szCs w:val="24"/>
        </w:rPr>
        <w:t>08</w:t>
      </w:r>
      <w:r w:rsidR="005D1614" w:rsidRPr="00375D5A">
        <w:rPr>
          <w:rFonts w:cstheme="minorHAnsi"/>
          <w:b/>
          <w:bCs/>
          <w:sz w:val="24"/>
          <w:szCs w:val="24"/>
        </w:rPr>
        <w:t>. Spremembe dohodninske lestvice (22. člen ZDoh-2V)</w:t>
      </w:r>
    </w:p>
    <w:p w14:paraId="31B7F764" w14:textId="77777777" w:rsidR="005D1614" w:rsidRPr="00375D5A" w:rsidRDefault="005D1614" w:rsidP="005D1614">
      <w:pPr>
        <w:autoSpaceDE w:val="0"/>
        <w:autoSpaceDN w:val="0"/>
        <w:adjustRightInd w:val="0"/>
        <w:spacing w:after="0" w:line="240" w:lineRule="auto"/>
        <w:rPr>
          <w:rFonts w:cstheme="minorHAnsi"/>
          <w:b/>
          <w:bCs/>
          <w:sz w:val="24"/>
          <w:szCs w:val="24"/>
        </w:rPr>
      </w:pPr>
    </w:p>
    <w:p w14:paraId="32FEB64B" w14:textId="052F07EE" w:rsidR="005D1614" w:rsidRPr="00375D5A"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S spremembo prvega odstavka 122. člena ZDoh-2 se zvišujejo meje davčnih razredov, spreminjata pa se tudi stopnji dohodnine v drugem (od 27 % na 26 %) in tretjem dohodninskem razredu (od 34 % na 33 %).</w:t>
      </w:r>
    </w:p>
    <w:p w14:paraId="004A7982" w14:textId="39864E43" w:rsidR="005D1614" w:rsidRPr="00375D5A"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Za davčna leta, ki se začnejo od vključno 1. januarja 2020, tako velja naslednja dohodninska lestvica:</w:t>
      </w:r>
    </w:p>
    <w:tbl>
      <w:tblPr>
        <w:tblpPr w:leftFromText="141" w:rightFromText="141" w:vertAnchor="text" w:tblpY="514"/>
        <w:tblW w:w="8639" w:type="dxa"/>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842"/>
        <w:gridCol w:w="1985"/>
        <w:gridCol w:w="1411"/>
        <w:gridCol w:w="3401"/>
      </w:tblGrid>
      <w:tr w:rsidR="00E8779A" w:rsidRPr="00375D5A" w14:paraId="2E37C1EA" w14:textId="77777777" w:rsidTr="00294738">
        <w:trPr>
          <w:tblCellSpacing w:w="7" w:type="dxa"/>
        </w:trPr>
        <w:tc>
          <w:tcPr>
            <w:tcW w:w="2202" w:type="pct"/>
            <w:gridSpan w:val="2"/>
            <w:tcBorders>
              <w:top w:val="outset" w:sz="6" w:space="0" w:color="auto"/>
              <w:left w:val="outset" w:sz="6" w:space="0" w:color="auto"/>
              <w:bottom w:val="outset" w:sz="6" w:space="0" w:color="auto"/>
              <w:right w:val="outset" w:sz="6" w:space="0" w:color="auto"/>
            </w:tcBorders>
            <w:vAlign w:val="center"/>
          </w:tcPr>
          <w:p w14:paraId="5FE947ED" w14:textId="77777777" w:rsidR="00E8779A" w:rsidRPr="00375D5A" w:rsidRDefault="00E8779A" w:rsidP="00294738">
            <w:pPr>
              <w:jc w:val="center"/>
              <w:rPr>
                <w:rFonts w:cstheme="minorHAnsi"/>
                <w:color w:val="323232"/>
                <w:sz w:val="24"/>
                <w:szCs w:val="24"/>
              </w:rPr>
            </w:pPr>
            <w:r w:rsidRPr="00375D5A">
              <w:rPr>
                <w:rStyle w:val="Krepko"/>
                <w:rFonts w:cstheme="minorHAnsi"/>
                <w:color w:val="323232"/>
                <w:sz w:val="24"/>
                <w:szCs w:val="24"/>
              </w:rPr>
              <w:t>Če znaša neto letna</w:t>
            </w:r>
            <w:r w:rsidRPr="00375D5A">
              <w:rPr>
                <w:rFonts w:cstheme="minorHAnsi"/>
                <w:b/>
                <w:bCs/>
                <w:color w:val="323232"/>
                <w:sz w:val="24"/>
                <w:szCs w:val="24"/>
              </w:rPr>
              <w:br/>
            </w:r>
            <w:r w:rsidRPr="00375D5A">
              <w:rPr>
                <w:rStyle w:val="Krepko"/>
                <w:rFonts w:cstheme="minorHAnsi"/>
                <w:color w:val="323232"/>
                <w:sz w:val="24"/>
                <w:szCs w:val="24"/>
              </w:rPr>
              <w:t>davčna osnova v eurih</w:t>
            </w:r>
          </w:p>
        </w:tc>
        <w:tc>
          <w:tcPr>
            <w:tcW w:w="2774" w:type="pct"/>
            <w:gridSpan w:val="2"/>
            <w:tcBorders>
              <w:top w:val="outset" w:sz="6" w:space="0" w:color="auto"/>
              <w:left w:val="outset" w:sz="6" w:space="0" w:color="auto"/>
              <w:bottom w:val="outset" w:sz="6" w:space="0" w:color="auto"/>
              <w:right w:val="outset" w:sz="6" w:space="0" w:color="auto"/>
            </w:tcBorders>
            <w:vAlign w:val="center"/>
          </w:tcPr>
          <w:p w14:paraId="13794424" w14:textId="77777777" w:rsidR="00E8779A" w:rsidRPr="00375D5A" w:rsidRDefault="00E8779A" w:rsidP="00294738">
            <w:pPr>
              <w:jc w:val="center"/>
              <w:rPr>
                <w:rFonts w:cstheme="minorHAnsi"/>
                <w:color w:val="323232"/>
                <w:sz w:val="24"/>
                <w:szCs w:val="24"/>
              </w:rPr>
            </w:pPr>
            <w:r w:rsidRPr="00375D5A">
              <w:rPr>
                <w:rStyle w:val="Krepko"/>
                <w:rFonts w:cstheme="minorHAnsi"/>
                <w:color w:val="323232"/>
                <w:sz w:val="24"/>
                <w:szCs w:val="24"/>
              </w:rPr>
              <w:t>Znaša dohodnina v eurih</w:t>
            </w:r>
          </w:p>
        </w:tc>
      </w:tr>
      <w:tr w:rsidR="00E8779A" w:rsidRPr="00375D5A" w14:paraId="0F077FC1" w14:textId="77777777" w:rsidTr="00294738">
        <w:trPr>
          <w:trHeight w:val="218"/>
          <w:tblCellSpacing w:w="7" w:type="dxa"/>
        </w:trPr>
        <w:tc>
          <w:tcPr>
            <w:tcW w:w="1058" w:type="pct"/>
            <w:tcBorders>
              <w:top w:val="outset" w:sz="6" w:space="0" w:color="auto"/>
              <w:left w:val="outset" w:sz="6" w:space="0" w:color="auto"/>
              <w:bottom w:val="outset" w:sz="6" w:space="0" w:color="auto"/>
              <w:right w:val="outset" w:sz="6" w:space="0" w:color="auto"/>
            </w:tcBorders>
            <w:vAlign w:val="center"/>
          </w:tcPr>
          <w:p w14:paraId="2C1707A0" w14:textId="77777777" w:rsidR="00E8779A" w:rsidRPr="00375D5A" w:rsidRDefault="00E8779A" w:rsidP="00294738">
            <w:pPr>
              <w:jc w:val="center"/>
              <w:rPr>
                <w:rFonts w:cstheme="minorHAnsi"/>
                <w:color w:val="323232"/>
                <w:sz w:val="24"/>
                <w:szCs w:val="24"/>
              </w:rPr>
            </w:pPr>
            <w:r w:rsidRPr="00375D5A">
              <w:rPr>
                <w:rStyle w:val="Krepko"/>
                <w:rFonts w:cstheme="minorHAnsi"/>
                <w:color w:val="323232"/>
                <w:sz w:val="24"/>
                <w:szCs w:val="24"/>
              </w:rPr>
              <w:t>Nad</w:t>
            </w:r>
          </w:p>
        </w:tc>
        <w:tc>
          <w:tcPr>
            <w:tcW w:w="1136" w:type="pct"/>
            <w:tcBorders>
              <w:top w:val="outset" w:sz="6" w:space="0" w:color="auto"/>
              <w:left w:val="outset" w:sz="6" w:space="0" w:color="auto"/>
              <w:bottom w:val="outset" w:sz="6" w:space="0" w:color="auto"/>
              <w:right w:val="outset" w:sz="6" w:space="0" w:color="auto"/>
            </w:tcBorders>
            <w:vAlign w:val="center"/>
          </w:tcPr>
          <w:p w14:paraId="0A8C41E5" w14:textId="77777777" w:rsidR="00E8779A" w:rsidRPr="00375D5A" w:rsidRDefault="00E8779A" w:rsidP="00294738">
            <w:pPr>
              <w:jc w:val="center"/>
              <w:rPr>
                <w:rFonts w:cstheme="minorHAnsi"/>
                <w:color w:val="323232"/>
                <w:sz w:val="24"/>
                <w:szCs w:val="24"/>
              </w:rPr>
            </w:pPr>
            <w:r w:rsidRPr="00375D5A">
              <w:rPr>
                <w:rStyle w:val="Krepko"/>
                <w:rFonts w:cstheme="minorHAnsi"/>
                <w:color w:val="323232"/>
                <w:sz w:val="24"/>
                <w:szCs w:val="24"/>
              </w:rPr>
              <w:t>Do</w:t>
            </w:r>
          </w:p>
        </w:tc>
        <w:tc>
          <w:tcPr>
            <w:tcW w:w="811" w:type="pct"/>
            <w:tcBorders>
              <w:top w:val="outset" w:sz="6" w:space="0" w:color="auto"/>
              <w:left w:val="outset" w:sz="6" w:space="0" w:color="auto"/>
              <w:bottom w:val="outset" w:sz="6" w:space="0" w:color="auto"/>
              <w:right w:val="outset" w:sz="6" w:space="0" w:color="auto"/>
            </w:tcBorders>
            <w:vAlign w:val="center"/>
          </w:tcPr>
          <w:p w14:paraId="41C8AD95" w14:textId="77777777" w:rsidR="00E8779A" w:rsidRPr="00375D5A" w:rsidRDefault="00E8779A" w:rsidP="00294738">
            <w:pPr>
              <w:jc w:val="center"/>
              <w:rPr>
                <w:rFonts w:cstheme="minorHAnsi"/>
                <w:color w:val="323232"/>
                <w:sz w:val="24"/>
                <w:szCs w:val="24"/>
              </w:rPr>
            </w:pPr>
            <w:r w:rsidRPr="00375D5A">
              <w:rPr>
                <w:rFonts w:cstheme="minorHAnsi"/>
                <w:color w:val="323232"/>
                <w:sz w:val="24"/>
                <w:szCs w:val="24"/>
              </w:rPr>
              <w:t> </w:t>
            </w:r>
          </w:p>
        </w:tc>
        <w:tc>
          <w:tcPr>
            <w:tcW w:w="1955" w:type="pct"/>
            <w:tcBorders>
              <w:top w:val="outset" w:sz="6" w:space="0" w:color="auto"/>
              <w:left w:val="outset" w:sz="6" w:space="0" w:color="auto"/>
              <w:bottom w:val="outset" w:sz="6" w:space="0" w:color="auto"/>
              <w:right w:val="outset" w:sz="6" w:space="0" w:color="auto"/>
            </w:tcBorders>
            <w:vAlign w:val="center"/>
          </w:tcPr>
          <w:p w14:paraId="4AB7FA3B" w14:textId="77777777" w:rsidR="00E8779A" w:rsidRPr="00375D5A" w:rsidRDefault="00E8779A" w:rsidP="00294738">
            <w:pPr>
              <w:jc w:val="center"/>
              <w:rPr>
                <w:rFonts w:cstheme="minorHAnsi"/>
                <w:color w:val="323232"/>
                <w:sz w:val="24"/>
                <w:szCs w:val="24"/>
              </w:rPr>
            </w:pPr>
            <w:r w:rsidRPr="00375D5A">
              <w:rPr>
                <w:rFonts w:cstheme="minorHAnsi"/>
                <w:color w:val="323232"/>
                <w:sz w:val="24"/>
                <w:szCs w:val="24"/>
              </w:rPr>
              <w:t>   </w:t>
            </w:r>
          </w:p>
        </w:tc>
      </w:tr>
      <w:tr w:rsidR="00E8779A" w:rsidRPr="00375D5A" w14:paraId="00859C36" w14:textId="77777777" w:rsidTr="00294738">
        <w:trPr>
          <w:trHeight w:val="218"/>
          <w:tblCellSpacing w:w="7" w:type="dxa"/>
        </w:trPr>
        <w:tc>
          <w:tcPr>
            <w:tcW w:w="1058" w:type="pct"/>
            <w:tcBorders>
              <w:top w:val="outset" w:sz="6" w:space="0" w:color="auto"/>
              <w:left w:val="outset" w:sz="6" w:space="0" w:color="auto"/>
              <w:bottom w:val="outset" w:sz="6" w:space="0" w:color="auto"/>
              <w:right w:val="outset" w:sz="6" w:space="0" w:color="auto"/>
            </w:tcBorders>
            <w:vAlign w:val="center"/>
          </w:tcPr>
          <w:p w14:paraId="2DBCCC2E"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 </w:t>
            </w:r>
          </w:p>
        </w:tc>
        <w:tc>
          <w:tcPr>
            <w:tcW w:w="1136" w:type="pct"/>
            <w:tcBorders>
              <w:top w:val="outset" w:sz="6" w:space="0" w:color="auto"/>
              <w:left w:val="outset" w:sz="6" w:space="0" w:color="auto"/>
              <w:bottom w:val="outset" w:sz="6" w:space="0" w:color="auto"/>
              <w:right w:val="outset" w:sz="6" w:space="0" w:color="auto"/>
            </w:tcBorders>
          </w:tcPr>
          <w:p w14:paraId="3EF1DBF9"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8.500,00</w:t>
            </w:r>
          </w:p>
        </w:tc>
        <w:tc>
          <w:tcPr>
            <w:tcW w:w="811" w:type="pct"/>
            <w:tcBorders>
              <w:top w:val="outset" w:sz="6" w:space="0" w:color="auto"/>
              <w:left w:val="outset" w:sz="6" w:space="0" w:color="auto"/>
              <w:bottom w:val="outset" w:sz="6" w:space="0" w:color="auto"/>
              <w:right w:val="outset" w:sz="6" w:space="0" w:color="auto"/>
            </w:tcBorders>
            <w:vAlign w:val="center"/>
          </w:tcPr>
          <w:p w14:paraId="5F90C270"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 </w:t>
            </w:r>
          </w:p>
        </w:tc>
        <w:tc>
          <w:tcPr>
            <w:tcW w:w="1955" w:type="pct"/>
            <w:tcBorders>
              <w:top w:val="outset" w:sz="6" w:space="0" w:color="auto"/>
              <w:left w:val="outset" w:sz="6" w:space="0" w:color="auto"/>
              <w:bottom w:val="outset" w:sz="6" w:space="0" w:color="auto"/>
              <w:right w:val="outset" w:sz="6" w:space="0" w:color="auto"/>
            </w:tcBorders>
            <w:vAlign w:val="center"/>
          </w:tcPr>
          <w:p w14:paraId="4F801A81" w14:textId="77777777" w:rsidR="00E8779A" w:rsidRPr="00375D5A" w:rsidRDefault="00E8779A" w:rsidP="00294738">
            <w:pPr>
              <w:rPr>
                <w:rFonts w:cstheme="minorHAnsi"/>
                <w:color w:val="323232"/>
                <w:sz w:val="24"/>
                <w:szCs w:val="24"/>
              </w:rPr>
            </w:pPr>
            <w:r w:rsidRPr="00375D5A">
              <w:rPr>
                <w:rFonts w:cstheme="minorHAnsi"/>
                <w:color w:val="323232"/>
                <w:sz w:val="24"/>
                <w:szCs w:val="24"/>
              </w:rPr>
              <w:t>        16 %</w:t>
            </w:r>
          </w:p>
        </w:tc>
      </w:tr>
      <w:tr w:rsidR="00E8779A" w:rsidRPr="00375D5A" w14:paraId="10B02B6A" w14:textId="77777777" w:rsidTr="00294738">
        <w:trPr>
          <w:trHeight w:val="218"/>
          <w:tblCellSpacing w:w="7" w:type="dxa"/>
        </w:trPr>
        <w:tc>
          <w:tcPr>
            <w:tcW w:w="1058" w:type="pct"/>
            <w:tcBorders>
              <w:top w:val="outset" w:sz="6" w:space="0" w:color="auto"/>
              <w:left w:val="outset" w:sz="6" w:space="0" w:color="auto"/>
              <w:bottom w:val="outset" w:sz="6" w:space="0" w:color="auto"/>
              <w:right w:val="outset" w:sz="6" w:space="0" w:color="auto"/>
            </w:tcBorders>
          </w:tcPr>
          <w:p w14:paraId="20C672D3"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8.500,00</w:t>
            </w:r>
          </w:p>
        </w:tc>
        <w:tc>
          <w:tcPr>
            <w:tcW w:w="1136" w:type="pct"/>
            <w:tcBorders>
              <w:top w:val="outset" w:sz="6" w:space="0" w:color="auto"/>
              <w:left w:val="outset" w:sz="6" w:space="0" w:color="auto"/>
              <w:bottom w:val="outset" w:sz="6" w:space="0" w:color="auto"/>
              <w:right w:val="outset" w:sz="6" w:space="0" w:color="auto"/>
            </w:tcBorders>
          </w:tcPr>
          <w:p w14:paraId="782FCCC3"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25.000,00</w:t>
            </w:r>
          </w:p>
        </w:tc>
        <w:tc>
          <w:tcPr>
            <w:tcW w:w="811" w:type="pct"/>
            <w:tcBorders>
              <w:top w:val="outset" w:sz="6" w:space="0" w:color="auto"/>
              <w:left w:val="outset" w:sz="6" w:space="0" w:color="auto"/>
              <w:bottom w:val="outset" w:sz="6" w:space="0" w:color="auto"/>
              <w:right w:val="outset" w:sz="6" w:space="0" w:color="auto"/>
            </w:tcBorders>
          </w:tcPr>
          <w:p w14:paraId="5CCF3E73"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1.360,00</w:t>
            </w:r>
          </w:p>
        </w:tc>
        <w:tc>
          <w:tcPr>
            <w:tcW w:w="1955" w:type="pct"/>
            <w:tcBorders>
              <w:top w:val="outset" w:sz="6" w:space="0" w:color="auto"/>
              <w:left w:val="outset" w:sz="6" w:space="0" w:color="auto"/>
              <w:bottom w:val="outset" w:sz="6" w:space="0" w:color="auto"/>
              <w:right w:val="outset" w:sz="6" w:space="0" w:color="auto"/>
            </w:tcBorders>
            <w:vAlign w:val="center"/>
          </w:tcPr>
          <w:p w14:paraId="159BAFB3" w14:textId="35EF1E69" w:rsidR="00E8779A" w:rsidRPr="00375D5A" w:rsidRDefault="00E8779A" w:rsidP="00294738">
            <w:pPr>
              <w:rPr>
                <w:rFonts w:cstheme="minorHAnsi"/>
                <w:color w:val="323232"/>
                <w:sz w:val="24"/>
                <w:szCs w:val="24"/>
              </w:rPr>
            </w:pPr>
            <w:r w:rsidRPr="00375D5A">
              <w:rPr>
                <w:rFonts w:cstheme="minorHAnsi"/>
                <w:color w:val="323232"/>
                <w:sz w:val="24"/>
                <w:szCs w:val="24"/>
              </w:rPr>
              <w:t>     + 26 % </w:t>
            </w:r>
            <w:r w:rsidR="00A460F8" w:rsidRPr="00375D5A">
              <w:rPr>
                <w:rFonts w:cstheme="minorHAnsi"/>
                <w:color w:val="323232"/>
                <w:sz w:val="24"/>
                <w:szCs w:val="24"/>
              </w:rPr>
              <w:t xml:space="preserve"> </w:t>
            </w:r>
            <w:r w:rsidRPr="00375D5A">
              <w:rPr>
                <w:rFonts w:cstheme="minorHAnsi"/>
                <w:color w:val="323232"/>
                <w:sz w:val="24"/>
                <w:szCs w:val="24"/>
              </w:rPr>
              <w:t> nad</w:t>
            </w:r>
            <w:r w:rsidR="00A460F8" w:rsidRPr="00375D5A">
              <w:rPr>
                <w:rFonts w:cstheme="minorHAnsi"/>
                <w:color w:val="323232"/>
                <w:sz w:val="24"/>
                <w:szCs w:val="24"/>
              </w:rPr>
              <w:t xml:space="preserve"> </w:t>
            </w:r>
            <w:r w:rsidRPr="00375D5A">
              <w:rPr>
                <w:rFonts w:cstheme="minorHAnsi"/>
                <w:color w:val="323232"/>
                <w:sz w:val="24"/>
                <w:szCs w:val="24"/>
              </w:rPr>
              <w:t xml:space="preserve">  8.500,00</w:t>
            </w:r>
          </w:p>
        </w:tc>
      </w:tr>
      <w:tr w:rsidR="00E8779A" w:rsidRPr="00375D5A" w14:paraId="5147A3F1" w14:textId="77777777" w:rsidTr="00294738">
        <w:trPr>
          <w:trHeight w:val="218"/>
          <w:tblCellSpacing w:w="7" w:type="dxa"/>
        </w:trPr>
        <w:tc>
          <w:tcPr>
            <w:tcW w:w="1058" w:type="pct"/>
            <w:tcBorders>
              <w:top w:val="outset" w:sz="6" w:space="0" w:color="auto"/>
              <w:left w:val="outset" w:sz="6" w:space="0" w:color="auto"/>
              <w:bottom w:val="outset" w:sz="6" w:space="0" w:color="auto"/>
              <w:right w:val="outset" w:sz="6" w:space="0" w:color="auto"/>
            </w:tcBorders>
          </w:tcPr>
          <w:p w14:paraId="517E3CA0"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25.000,00</w:t>
            </w:r>
          </w:p>
        </w:tc>
        <w:tc>
          <w:tcPr>
            <w:tcW w:w="1136" w:type="pct"/>
            <w:tcBorders>
              <w:top w:val="outset" w:sz="6" w:space="0" w:color="auto"/>
              <w:left w:val="outset" w:sz="6" w:space="0" w:color="auto"/>
              <w:bottom w:val="outset" w:sz="6" w:space="0" w:color="auto"/>
              <w:right w:val="outset" w:sz="6" w:space="0" w:color="auto"/>
            </w:tcBorders>
          </w:tcPr>
          <w:p w14:paraId="72E8AC06"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50.000,00</w:t>
            </w:r>
          </w:p>
        </w:tc>
        <w:tc>
          <w:tcPr>
            <w:tcW w:w="811" w:type="pct"/>
            <w:tcBorders>
              <w:top w:val="outset" w:sz="6" w:space="0" w:color="auto"/>
              <w:left w:val="outset" w:sz="6" w:space="0" w:color="auto"/>
              <w:bottom w:val="outset" w:sz="6" w:space="0" w:color="auto"/>
              <w:right w:val="outset" w:sz="6" w:space="0" w:color="auto"/>
            </w:tcBorders>
          </w:tcPr>
          <w:p w14:paraId="631C6394"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5.650,00</w:t>
            </w:r>
          </w:p>
        </w:tc>
        <w:tc>
          <w:tcPr>
            <w:tcW w:w="1955" w:type="pct"/>
            <w:tcBorders>
              <w:top w:val="outset" w:sz="6" w:space="0" w:color="auto"/>
              <w:left w:val="outset" w:sz="6" w:space="0" w:color="auto"/>
              <w:bottom w:val="outset" w:sz="6" w:space="0" w:color="auto"/>
              <w:right w:val="outset" w:sz="6" w:space="0" w:color="auto"/>
            </w:tcBorders>
            <w:vAlign w:val="center"/>
          </w:tcPr>
          <w:p w14:paraId="53251947" w14:textId="316E7205" w:rsidR="00E8779A" w:rsidRPr="00375D5A" w:rsidRDefault="00E8779A" w:rsidP="00294738">
            <w:pPr>
              <w:rPr>
                <w:rFonts w:cstheme="minorHAnsi"/>
                <w:color w:val="323232"/>
                <w:sz w:val="24"/>
                <w:szCs w:val="24"/>
              </w:rPr>
            </w:pPr>
            <w:r w:rsidRPr="00375D5A">
              <w:rPr>
                <w:rFonts w:cstheme="minorHAnsi"/>
                <w:color w:val="323232"/>
                <w:sz w:val="24"/>
                <w:szCs w:val="24"/>
              </w:rPr>
              <w:t xml:space="preserve">     + 33 % </w:t>
            </w:r>
            <w:r w:rsidR="00A460F8" w:rsidRPr="00375D5A">
              <w:rPr>
                <w:rFonts w:cstheme="minorHAnsi"/>
                <w:color w:val="323232"/>
                <w:sz w:val="24"/>
                <w:szCs w:val="24"/>
              </w:rPr>
              <w:t xml:space="preserve"> </w:t>
            </w:r>
            <w:r w:rsidRPr="00375D5A">
              <w:rPr>
                <w:rFonts w:cstheme="minorHAnsi"/>
                <w:color w:val="323232"/>
                <w:sz w:val="24"/>
                <w:szCs w:val="24"/>
              </w:rPr>
              <w:t xml:space="preserve"> nad 25.000,00</w:t>
            </w:r>
          </w:p>
        </w:tc>
      </w:tr>
      <w:tr w:rsidR="00E8779A" w:rsidRPr="00375D5A" w14:paraId="4CB00C5E" w14:textId="77777777" w:rsidTr="00294738">
        <w:trPr>
          <w:trHeight w:val="218"/>
          <w:tblCellSpacing w:w="7" w:type="dxa"/>
        </w:trPr>
        <w:tc>
          <w:tcPr>
            <w:tcW w:w="1058" w:type="pct"/>
            <w:tcBorders>
              <w:top w:val="outset" w:sz="6" w:space="0" w:color="auto"/>
              <w:left w:val="outset" w:sz="6" w:space="0" w:color="auto"/>
              <w:bottom w:val="outset" w:sz="6" w:space="0" w:color="auto"/>
              <w:right w:val="outset" w:sz="6" w:space="0" w:color="auto"/>
            </w:tcBorders>
          </w:tcPr>
          <w:p w14:paraId="446924A6"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50.000,00</w:t>
            </w:r>
          </w:p>
        </w:tc>
        <w:tc>
          <w:tcPr>
            <w:tcW w:w="1136" w:type="pct"/>
            <w:tcBorders>
              <w:top w:val="outset" w:sz="6" w:space="0" w:color="auto"/>
              <w:left w:val="outset" w:sz="6" w:space="0" w:color="auto"/>
              <w:bottom w:val="outset" w:sz="6" w:space="0" w:color="auto"/>
              <w:right w:val="outset" w:sz="6" w:space="0" w:color="auto"/>
            </w:tcBorders>
          </w:tcPr>
          <w:p w14:paraId="10AFD4D1"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72.000,00</w:t>
            </w:r>
          </w:p>
        </w:tc>
        <w:tc>
          <w:tcPr>
            <w:tcW w:w="811" w:type="pct"/>
            <w:tcBorders>
              <w:top w:val="outset" w:sz="6" w:space="0" w:color="auto"/>
              <w:left w:val="outset" w:sz="6" w:space="0" w:color="auto"/>
              <w:bottom w:val="outset" w:sz="6" w:space="0" w:color="auto"/>
              <w:right w:val="outset" w:sz="6" w:space="0" w:color="auto"/>
            </w:tcBorders>
          </w:tcPr>
          <w:p w14:paraId="4484079A"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13.900,00</w:t>
            </w:r>
          </w:p>
        </w:tc>
        <w:tc>
          <w:tcPr>
            <w:tcW w:w="1955" w:type="pct"/>
            <w:tcBorders>
              <w:top w:val="outset" w:sz="6" w:space="0" w:color="auto"/>
              <w:left w:val="outset" w:sz="6" w:space="0" w:color="auto"/>
              <w:bottom w:val="outset" w:sz="6" w:space="0" w:color="auto"/>
              <w:right w:val="outset" w:sz="6" w:space="0" w:color="auto"/>
            </w:tcBorders>
            <w:vAlign w:val="center"/>
          </w:tcPr>
          <w:p w14:paraId="18248932" w14:textId="7518F56B" w:rsidR="00E8779A" w:rsidRPr="00375D5A" w:rsidRDefault="00E8779A" w:rsidP="00294738">
            <w:pPr>
              <w:rPr>
                <w:rFonts w:cstheme="minorHAnsi"/>
                <w:color w:val="323232"/>
                <w:sz w:val="24"/>
                <w:szCs w:val="24"/>
              </w:rPr>
            </w:pPr>
            <w:r w:rsidRPr="00375D5A">
              <w:rPr>
                <w:rFonts w:cstheme="minorHAnsi"/>
                <w:color w:val="323232"/>
                <w:sz w:val="24"/>
                <w:szCs w:val="24"/>
              </w:rPr>
              <w:t xml:space="preserve">     + 39 % </w:t>
            </w:r>
            <w:r w:rsidR="00A460F8" w:rsidRPr="00375D5A">
              <w:rPr>
                <w:rFonts w:cstheme="minorHAnsi"/>
                <w:color w:val="323232"/>
                <w:sz w:val="24"/>
                <w:szCs w:val="24"/>
              </w:rPr>
              <w:t xml:space="preserve"> </w:t>
            </w:r>
            <w:r w:rsidRPr="00375D5A">
              <w:rPr>
                <w:rFonts w:cstheme="minorHAnsi"/>
                <w:color w:val="323232"/>
                <w:sz w:val="24"/>
                <w:szCs w:val="24"/>
              </w:rPr>
              <w:t> nad 50.000,00</w:t>
            </w:r>
          </w:p>
        </w:tc>
      </w:tr>
      <w:tr w:rsidR="00E8779A" w:rsidRPr="00375D5A" w14:paraId="60B385B3" w14:textId="77777777" w:rsidTr="00294738">
        <w:trPr>
          <w:trHeight w:val="218"/>
          <w:tblCellSpacing w:w="7" w:type="dxa"/>
        </w:trPr>
        <w:tc>
          <w:tcPr>
            <w:tcW w:w="1058" w:type="pct"/>
            <w:tcBorders>
              <w:top w:val="outset" w:sz="6" w:space="0" w:color="auto"/>
              <w:left w:val="outset" w:sz="6" w:space="0" w:color="auto"/>
              <w:bottom w:val="outset" w:sz="6" w:space="0" w:color="auto"/>
              <w:right w:val="outset" w:sz="6" w:space="0" w:color="auto"/>
            </w:tcBorders>
          </w:tcPr>
          <w:p w14:paraId="18D75DC0"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lastRenderedPageBreak/>
              <w:t>72.000,00</w:t>
            </w:r>
          </w:p>
        </w:tc>
        <w:tc>
          <w:tcPr>
            <w:tcW w:w="1136" w:type="pct"/>
            <w:tcBorders>
              <w:top w:val="outset" w:sz="6" w:space="0" w:color="auto"/>
              <w:left w:val="outset" w:sz="6" w:space="0" w:color="auto"/>
              <w:bottom w:val="outset" w:sz="6" w:space="0" w:color="auto"/>
              <w:right w:val="outset" w:sz="6" w:space="0" w:color="auto"/>
            </w:tcBorders>
            <w:vAlign w:val="center"/>
          </w:tcPr>
          <w:p w14:paraId="19343BEF" w14:textId="77777777" w:rsidR="00E8779A" w:rsidRPr="00375D5A" w:rsidRDefault="00E8779A" w:rsidP="00294738">
            <w:pPr>
              <w:jc w:val="right"/>
              <w:rPr>
                <w:rFonts w:cstheme="minorHAnsi"/>
                <w:color w:val="323232"/>
                <w:sz w:val="24"/>
                <w:szCs w:val="24"/>
              </w:rPr>
            </w:pPr>
          </w:p>
        </w:tc>
        <w:tc>
          <w:tcPr>
            <w:tcW w:w="811" w:type="pct"/>
            <w:tcBorders>
              <w:top w:val="outset" w:sz="6" w:space="0" w:color="auto"/>
              <w:left w:val="outset" w:sz="6" w:space="0" w:color="auto"/>
              <w:bottom w:val="outset" w:sz="6" w:space="0" w:color="auto"/>
              <w:right w:val="outset" w:sz="6" w:space="0" w:color="auto"/>
            </w:tcBorders>
          </w:tcPr>
          <w:p w14:paraId="03EC079C"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22.480,00</w:t>
            </w:r>
          </w:p>
        </w:tc>
        <w:tc>
          <w:tcPr>
            <w:tcW w:w="1955" w:type="pct"/>
            <w:tcBorders>
              <w:top w:val="outset" w:sz="6" w:space="0" w:color="auto"/>
              <w:left w:val="outset" w:sz="6" w:space="0" w:color="auto"/>
              <w:bottom w:val="outset" w:sz="6" w:space="0" w:color="auto"/>
              <w:right w:val="outset" w:sz="6" w:space="0" w:color="auto"/>
            </w:tcBorders>
            <w:vAlign w:val="center"/>
          </w:tcPr>
          <w:p w14:paraId="10EC9F9A" w14:textId="598BEE46" w:rsidR="00E8779A" w:rsidRPr="00375D5A" w:rsidRDefault="00E8779A" w:rsidP="00294738">
            <w:pPr>
              <w:rPr>
                <w:rFonts w:cstheme="minorHAnsi"/>
                <w:color w:val="323232"/>
                <w:sz w:val="24"/>
                <w:szCs w:val="24"/>
              </w:rPr>
            </w:pPr>
            <w:r w:rsidRPr="00375D5A">
              <w:rPr>
                <w:rFonts w:cstheme="minorHAnsi"/>
                <w:color w:val="323232"/>
                <w:sz w:val="24"/>
                <w:szCs w:val="24"/>
              </w:rPr>
              <w:t xml:space="preserve">     + 50 %</w:t>
            </w:r>
            <w:r w:rsidR="00A460F8" w:rsidRPr="00375D5A">
              <w:rPr>
                <w:rFonts w:cstheme="minorHAnsi"/>
                <w:color w:val="323232"/>
                <w:sz w:val="24"/>
                <w:szCs w:val="24"/>
              </w:rPr>
              <w:t xml:space="preserve"> </w:t>
            </w:r>
            <w:r w:rsidRPr="00375D5A">
              <w:rPr>
                <w:rFonts w:cstheme="minorHAnsi"/>
                <w:color w:val="323232"/>
                <w:sz w:val="24"/>
                <w:szCs w:val="24"/>
              </w:rPr>
              <w:t xml:space="preserve">  nad 72.000,00</w:t>
            </w:r>
          </w:p>
        </w:tc>
      </w:tr>
    </w:tbl>
    <w:p w14:paraId="5184C49F" w14:textId="77777777" w:rsidR="00E8779A" w:rsidRPr="00375D5A" w:rsidRDefault="00E8779A" w:rsidP="005D1614">
      <w:pPr>
        <w:autoSpaceDE w:val="0"/>
        <w:autoSpaceDN w:val="0"/>
        <w:adjustRightInd w:val="0"/>
        <w:spacing w:after="0" w:line="240" w:lineRule="auto"/>
        <w:rPr>
          <w:rFonts w:cstheme="minorHAnsi"/>
          <w:sz w:val="24"/>
          <w:szCs w:val="24"/>
        </w:rPr>
      </w:pPr>
    </w:p>
    <w:p w14:paraId="2DD40310" w14:textId="77777777" w:rsidR="00E8779A" w:rsidRPr="00375D5A" w:rsidRDefault="00E8779A" w:rsidP="005D1614">
      <w:pPr>
        <w:autoSpaceDE w:val="0"/>
        <w:autoSpaceDN w:val="0"/>
        <w:adjustRightInd w:val="0"/>
        <w:spacing w:after="0" w:line="240" w:lineRule="auto"/>
        <w:rPr>
          <w:rFonts w:cstheme="minorHAnsi"/>
          <w:sz w:val="24"/>
          <w:szCs w:val="24"/>
        </w:rPr>
      </w:pPr>
    </w:p>
    <w:p w14:paraId="3F8A0597" w14:textId="707524D2" w:rsidR="005D1614" w:rsidRPr="00375D5A"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Pri izračunu mesečne akontacije dohodnine od dohodka iz delovnega razmerja (ki ga izračunava glavni delodajalec v skladu z drugim odstavkom 127. člena ZDoh-2) in izračunih akontacijah dohodnine od drugega dohodka (če gre redne mesečno dohodke in se za ta način izračuna zavezanec odloči sam v skladu z drugim odstavkom 131. člena ZDoh-2) pa se za dohodke, izplačane po 1. januarju 2020, uporablja naslednja lestvica:</w:t>
      </w:r>
    </w:p>
    <w:p w14:paraId="59128D3D" w14:textId="77777777" w:rsidR="00E8779A" w:rsidRPr="00375D5A" w:rsidRDefault="00E8779A" w:rsidP="005D1614">
      <w:pPr>
        <w:autoSpaceDE w:val="0"/>
        <w:autoSpaceDN w:val="0"/>
        <w:adjustRightInd w:val="0"/>
        <w:spacing w:after="0" w:line="240" w:lineRule="auto"/>
        <w:rPr>
          <w:rFonts w:cstheme="minorHAnsi"/>
          <w:sz w:val="24"/>
          <w:szCs w:val="24"/>
        </w:rPr>
      </w:pPr>
    </w:p>
    <w:tbl>
      <w:tblPr>
        <w:tblW w:w="8639" w:type="dxa"/>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054"/>
        <w:gridCol w:w="1769"/>
        <w:gridCol w:w="1412"/>
        <w:gridCol w:w="3404"/>
      </w:tblGrid>
      <w:tr w:rsidR="00E8779A" w:rsidRPr="00375D5A" w14:paraId="537B75DE" w14:textId="77777777" w:rsidTr="00294738">
        <w:trPr>
          <w:tblCellSpacing w:w="7" w:type="dxa"/>
        </w:trPr>
        <w:tc>
          <w:tcPr>
            <w:tcW w:w="2199" w:type="pct"/>
            <w:gridSpan w:val="2"/>
            <w:tcBorders>
              <w:top w:val="outset" w:sz="6" w:space="0" w:color="auto"/>
              <w:left w:val="outset" w:sz="6" w:space="0" w:color="auto"/>
              <w:bottom w:val="outset" w:sz="6" w:space="0" w:color="auto"/>
              <w:right w:val="outset" w:sz="6" w:space="0" w:color="auto"/>
            </w:tcBorders>
            <w:vAlign w:val="center"/>
          </w:tcPr>
          <w:p w14:paraId="11C07378" w14:textId="77777777" w:rsidR="00E8779A" w:rsidRPr="00375D5A" w:rsidRDefault="00E8779A" w:rsidP="00294738">
            <w:pPr>
              <w:jc w:val="center"/>
              <w:rPr>
                <w:rFonts w:cstheme="minorHAnsi"/>
                <w:color w:val="323232"/>
                <w:sz w:val="24"/>
                <w:szCs w:val="24"/>
              </w:rPr>
            </w:pPr>
            <w:r w:rsidRPr="00375D5A">
              <w:rPr>
                <w:rStyle w:val="Krepko"/>
                <w:rFonts w:cstheme="minorHAnsi"/>
                <w:color w:val="323232"/>
                <w:sz w:val="24"/>
                <w:szCs w:val="24"/>
              </w:rPr>
              <w:t>Če znaša neto mesečna</w:t>
            </w:r>
            <w:r w:rsidRPr="00375D5A">
              <w:rPr>
                <w:rFonts w:cstheme="minorHAnsi"/>
                <w:b/>
                <w:bCs/>
                <w:color w:val="323232"/>
                <w:sz w:val="24"/>
                <w:szCs w:val="24"/>
              </w:rPr>
              <w:br/>
            </w:r>
            <w:r w:rsidRPr="00375D5A">
              <w:rPr>
                <w:rStyle w:val="Krepko"/>
                <w:rFonts w:cstheme="minorHAnsi"/>
                <w:color w:val="323232"/>
                <w:sz w:val="24"/>
                <w:szCs w:val="24"/>
              </w:rPr>
              <w:t>davčna osnova v eurih</w:t>
            </w:r>
          </w:p>
        </w:tc>
        <w:tc>
          <w:tcPr>
            <w:tcW w:w="2777" w:type="pct"/>
            <w:gridSpan w:val="2"/>
            <w:tcBorders>
              <w:top w:val="outset" w:sz="6" w:space="0" w:color="auto"/>
              <w:left w:val="outset" w:sz="6" w:space="0" w:color="auto"/>
              <w:bottom w:val="outset" w:sz="6" w:space="0" w:color="auto"/>
              <w:right w:val="outset" w:sz="6" w:space="0" w:color="auto"/>
            </w:tcBorders>
            <w:vAlign w:val="center"/>
          </w:tcPr>
          <w:p w14:paraId="1F1A6AAF" w14:textId="77777777" w:rsidR="00E8779A" w:rsidRPr="00375D5A" w:rsidRDefault="00E8779A" w:rsidP="00294738">
            <w:pPr>
              <w:jc w:val="center"/>
              <w:rPr>
                <w:rFonts w:cstheme="minorHAnsi"/>
                <w:color w:val="323232"/>
                <w:sz w:val="24"/>
                <w:szCs w:val="24"/>
              </w:rPr>
            </w:pPr>
            <w:r w:rsidRPr="00375D5A">
              <w:rPr>
                <w:rStyle w:val="Krepko"/>
                <w:rFonts w:cstheme="minorHAnsi"/>
                <w:color w:val="323232"/>
                <w:sz w:val="24"/>
                <w:szCs w:val="24"/>
              </w:rPr>
              <w:t>Znaša dohodnina v eurih</w:t>
            </w:r>
          </w:p>
        </w:tc>
      </w:tr>
      <w:tr w:rsidR="00E8779A" w:rsidRPr="00375D5A" w14:paraId="505F1886" w14:textId="77777777" w:rsidTr="00294738">
        <w:trPr>
          <w:tblCellSpacing w:w="7" w:type="dxa"/>
        </w:trPr>
        <w:tc>
          <w:tcPr>
            <w:tcW w:w="1180" w:type="pct"/>
            <w:tcBorders>
              <w:top w:val="outset" w:sz="6" w:space="0" w:color="auto"/>
              <w:left w:val="outset" w:sz="6" w:space="0" w:color="auto"/>
              <w:bottom w:val="outset" w:sz="6" w:space="0" w:color="auto"/>
              <w:right w:val="outset" w:sz="6" w:space="0" w:color="auto"/>
            </w:tcBorders>
            <w:vAlign w:val="center"/>
          </w:tcPr>
          <w:p w14:paraId="4265ABA0" w14:textId="77777777" w:rsidR="00E8779A" w:rsidRPr="00375D5A" w:rsidRDefault="00E8779A" w:rsidP="00294738">
            <w:pPr>
              <w:jc w:val="center"/>
              <w:rPr>
                <w:rFonts w:cstheme="minorHAnsi"/>
                <w:color w:val="323232"/>
                <w:sz w:val="24"/>
                <w:szCs w:val="24"/>
              </w:rPr>
            </w:pPr>
            <w:r w:rsidRPr="00375D5A">
              <w:rPr>
                <w:rStyle w:val="Krepko"/>
                <w:rFonts w:cstheme="minorHAnsi"/>
                <w:color w:val="323232"/>
                <w:sz w:val="24"/>
                <w:szCs w:val="24"/>
              </w:rPr>
              <w:t>Nad</w:t>
            </w:r>
          </w:p>
        </w:tc>
        <w:tc>
          <w:tcPr>
            <w:tcW w:w="1011" w:type="pct"/>
            <w:tcBorders>
              <w:top w:val="outset" w:sz="6" w:space="0" w:color="auto"/>
              <w:left w:val="outset" w:sz="6" w:space="0" w:color="auto"/>
              <w:bottom w:val="outset" w:sz="6" w:space="0" w:color="auto"/>
              <w:right w:val="outset" w:sz="6" w:space="0" w:color="auto"/>
            </w:tcBorders>
            <w:vAlign w:val="center"/>
          </w:tcPr>
          <w:p w14:paraId="5175FB21" w14:textId="77777777" w:rsidR="00E8779A" w:rsidRPr="00375D5A" w:rsidRDefault="00E8779A" w:rsidP="00294738">
            <w:pPr>
              <w:jc w:val="center"/>
              <w:rPr>
                <w:rFonts w:cstheme="minorHAnsi"/>
                <w:color w:val="323232"/>
                <w:sz w:val="24"/>
                <w:szCs w:val="24"/>
              </w:rPr>
            </w:pPr>
            <w:r w:rsidRPr="00375D5A">
              <w:rPr>
                <w:rStyle w:val="Krepko"/>
                <w:rFonts w:cstheme="minorHAnsi"/>
                <w:color w:val="323232"/>
                <w:sz w:val="24"/>
                <w:szCs w:val="24"/>
              </w:rPr>
              <w:t>Do</w:t>
            </w:r>
          </w:p>
        </w:tc>
        <w:tc>
          <w:tcPr>
            <w:tcW w:w="812" w:type="pct"/>
            <w:tcBorders>
              <w:top w:val="outset" w:sz="6" w:space="0" w:color="auto"/>
              <w:left w:val="outset" w:sz="6" w:space="0" w:color="auto"/>
              <w:bottom w:val="outset" w:sz="6" w:space="0" w:color="auto"/>
              <w:right w:val="outset" w:sz="6" w:space="0" w:color="auto"/>
            </w:tcBorders>
            <w:vAlign w:val="center"/>
          </w:tcPr>
          <w:p w14:paraId="3630114F" w14:textId="77777777" w:rsidR="00E8779A" w:rsidRPr="00375D5A" w:rsidRDefault="00E8779A" w:rsidP="00294738">
            <w:pPr>
              <w:jc w:val="center"/>
              <w:rPr>
                <w:rFonts w:cstheme="minorHAnsi"/>
                <w:color w:val="323232"/>
                <w:sz w:val="24"/>
                <w:szCs w:val="24"/>
              </w:rPr>
            </w:pPr>
            <w:r w:rsidRPr="00375D5A">
              <w:rPr>
                <w:rFonts w:cstheme="minorHAnsi"/>
                <w:color w:val="323232"/>
                <w:sz w:val="24"/>
                <w:szCs w:val="24"/>
              </w:rPr>
              <w:t> </w:t>
            </w:r>
          </w:p>
        </w:tc>
        <w:tc>
          <w:tcPr>
            <w:tcW w:w="1957" w:type="pct"/>
            <w:tcBorders>
              <w:top w:val="outset" w:sz="6" w:space="0" w:color="auto"/>
              <w:left w:val="outset" w:sz="6" w:space="0" w:color="auto"/>
              <w:bottom w:val="outset" w:sz="6" w:space="0" w:color="auto"/>
              <w:right w:val="outset" w:sz="6" w:space="0" w:color="auto"/>
            </w:tcBorders>
            <w:vAlign w:val="center"/>
          </w:tcPr>
          <w:p w14:paraId="6D14C1E3" w14:textId="77777777" w:rsidR="00E8779A" w:rsidRPr="00375D5A" w:rsidRDefault="00E8779A" w:rsidP="00294738">
            <w:pPr>
              <w:jc w:val="center"/>
              <w:rPr>
                <w:rFonts w:cstheme="minorHAnsi"/>
                <w:color w:val="323232"/>
                <w:sz w:val="24"/>
                <w:szCs w:val="24"/>
              </w:rPr>
            </w:pPr>
            <w:r w:rsidRPr="00375D5A">
              <w:rPr>
                <w:rFonts w:cstheme="minorHAnsi"/>
                <w:color w:val="323232"/>
                <w:sz w:val="24"/>
                <w:szCs w:val="24"/>
              </w:rPr>
              <w:t> </w:t>
            </w:r>
          </w:p>
        </w:tc>
      </w:tr>
      <w:tr w:rsidR="00E8779A" w:rsidRPr="00375D5A" w14:paraId="7546A918" w14:textId="77777777" w:rsidTr="00294738">
        <w:trPr>
          <w:trHeight w:val="86"/>
          <w:tblCellSpacing w:w="7" w:type="dxa"/>
        </w:trPr>
        <w:tc>
          <w:tcPr>
            <w:tcW w:w="1180" w:type="pct"/>
            <w:tcBorders>
              <w:top w:val="outset" w:sz="6" w:space="0" w:color="auto"/>
              <w:left w:val="outset" w:sz="6" w:space="0" w:color="auto"/>
              <w:bottom w:val="outset" w:sz="6" w:space="0" w:color="auto"/>
              <w:right w:val="outset" w:sz="6" w:space="0" w:color="auto"/>
            </w:tcBorders>
            <w:vAlign w:val="center"/>
          </w:tcPr>
          <w:p w14:paraId="6B3CBEA5"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 </w:t>
            </w:r>
          </w:p>
        </w:tc>
        <w:tc>
          <w:tcPr>
            <w:tcW w:w="1011" w:type="pct"/>
            <w:tcBorders>
              <w:top w:val="outset" w:sz="6" w:space="0" w:color="auto"/>
              <w:left w:val="outset" w:sz="6" w:space="0" w:color="auto"/>
              <w:bottom w:val="outset" w:sz="6" w:space="0" w:color="auto"/>
              <w:right w:val="outset" w:sz="6" w:space="0" w:color="auto"/>
            </w:tcBorders>
          </w:tcPr>
          <w:p w14:paraId="146AA459"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708,33</w:t>
            </w:r>
          </w:p>
        </w:tc>
        <w:tc>
          <w:tcPr>
            <w:tcW w:w="812" w:type="pct"/>
            <w:tcBorders>
              <w:top w:val="outset" w:sz="6" w:space="0" w:color="auto"/>
              <w:left w:val="outset" w:sz="6" w:space="0" w:color="auto"/>
              <w:bottom w:val="outset" w:sz="6" w:space="0" w:color="auto"/>
              <w:right w:val="outset" w:sz="6" w:space="0" w:color="auto"/>
            </w:tcBorders>
            <w:vAlign w:val="center"/>
          </w:tcPr>
          <w:p w14:paraId="5A2FAD18"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 </w:t>
            </w:r>
          </w:p>
        </w:tc>
        <w:tc>
          <w:tcPr>
            <w:tcW w:w="1957" w:type="pct"/>
            <w:tcBorders>
              <w:top w:val="outset" w:sz="6" w:space="0" w:color="auto"/>
              <w:left w:val="outset" w:sz="6" w:space="0" w:color="auto"/>
              <w:bottom w:val="outset" w:sz="6" w:space="0" w:color="auto"/>
              <w:right w:val="outset" w:sz="6" w:space="0" w:color="auto"/>
            </w:tcBorders>
            <w:vAlign w:val="center"/>
          </w:tcPr>
          <w:p w14:paraId="7210457C" w14:textId="77777777" w:rsidR="00E8779A" w:rsidRPr="00375D5A" w:rsidRDefault="00E8779A" w:rsidP="00294738">
            <w:pPr>
              <w:rPr>
                <w:rFonts w:cstheme="minorHAnsi"/>
                <w:color w:val="323232"/>
                <w:sz w:val="24"/>
                <w:szCs w:val="24"/>
              </w:rPr>
            </w:pPr>
            <w:r w:rsidRPr="00375D5A">
              <w:rPr>
                <w:rFonts w:cstheme="minorHAnsi"/>
                <w:color w:val="323232"/>
                <w:sz w:val="24"/>
                <w:szCs w:val="24"/>
              </w:rPr>
              <w:t>        16 %</w:t>
            </w:r>
          </w:p>
        </w:tc>
      </w:tr>
      <w:tr w:rsidR="00E8779A" w:rsidRPr="00375D5A" w14:paraId="5A75F445" w14:textId="77777777" w:rsidTr="00294738">
        <w:trPr>
          <w:tblCellSpacing w:w="7" w:type="dxa"/>
        </w:trPr>
        <w:tc>
          <w:tcPr>
            <w:tcW w:w="1180" w:type="pct"/>
            <w:tcBorders>
              <w:top w:val="outset" w:sz="6" w:space="0" w:color="auto"/>
              <w:left w:val="outset" w:sz="6" w:space="0" w:color="auto"/>
              <w:bottom w:val="outset" w:sz="6" w:space="0" w:color="auto"/>
              <w:right w:val="outset" w:sz="6" w:space="0" w:color="auto"/>
            </w:tcBorders>
          </w:tcPr>
          <w:p w14:paraId="32D1F215"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708,33</w:t>
            </w:r>
          </w:p>
        </w:tc>
        <w:tc>
          <w:tcPr>
            <w:tcW w:w="1011" w:type="pct"/>
            <w:tcBorders>
              <w:top w:val="outset" w:sz="6" w:space="0" w:color="auto"/>
              <w:left w:val="outset" w:sz="6" w:space="0" w:color="auto"/>
              <w:bottom w:val="outset" w:sz="6" w:space="0" w:color="auto"/>
              <w:right w:val="outset" w:sz="6" w:space="0" w:color="auto"/>
            </w:tcBorders>
          </w:tcPr>
          <w:p w14:paraId="3B40ECEA"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2.083,33</w:t>
            </w:r>
          </w:p>
        </w:tc>
        <w:tc>
          <w:tcPr>
            <w:tcW w:w="812" w:type="pct"/>
            <w:tcBorders>
              <w:top w:val="outset" w:sz="6" w:space="0" w:color="auto"/>
              <w:left w:val="outset" w:sz="6" w:space="0" w:color="auto"/>
              <w:bottom w:val="outset" w:sz="6" w:space="0" w:color="auto"/>
              <w:right w:val="outset" w:sz="6" w:space="0" w:color="auto"/>
            </w:tcBorders>
          </w:tcPr>
          <w:p w14:paraId="44CDAC51"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113,33</w:t>
            </w:r>
          </w:p>
        </w:tc>
        <w:tc>
          <w:tcPr>
            <w:tcW w:w="1957" w:type="pct"/>
            <w:tcBorders>
              <w:top w:val="outset" w:sz="6" w:space="0" w:color="auto"/>
              <w:left w:val="outset" w:sz="6" w:space="0" w:color="auto"/>
              <w:bottom w:val="outset" w:sz="6" w:space="0" w:color="auto"/>
              <w:right w:val="outset" w:sz="6" w:space="0" w:color="auto"/>
            </w:tcBorders>
            <w:vAlign w:val="center"/>
          </w:tcPr>
          <w:p w14:paraId="21587B11" w14:textId="1B5A075C" w:rsidR="00E8779A" w:rsidRPr="00375D5A" w:rsidRDefault="00E8779A" w:rsidP="00294738">
            <w:pPr>
              <w:rPr>
                <w:rFonts w:cstheme="minorHAnsi"/>
                <w:color w:val="323232"/>
                <w:sz w:val="24"/>
                <w:szCs w:val="24"/>
              </w:rPr>
            </w:pPr>
            <w:r w:rsidRPr="00375D5A">
              <w:rPr>
                <w:rFonts w:cstheme="minorHAnsi"/>
                <w:color w:val="323232"/>
                <w:sz w:val="24"/>
                <w:szCs w:val="24"/>
              </w:rPr>
              <w:t>     + 26 % </w:t>
            </w:r>
            <w:r w:rsidR="00A460F8" w:rsidRPr="00375D5A">
              <w:rPr>
                <w:rFonts w:cstheme="minorHAnsi"/>
                <w:color w:val="323232"/>
                <w:sz w:val="24"/>
                <w:szCs w:val="24"/>
              </w:rPr>
              <w:t xml:space="preserve"> </w:t>
            </w:r>
            <w:r w:rsidRPr="00375D5A">
              <w:rPr>
                <w:rFonts w:cstheme="minorHAnsi"/>
                <w:color w:val="323232"/>
                <w:sz w:val="24"/>
                <w:szCs w:val="24"/>
              </w:rPr>
              <w:t> nad</w:t>
            </w:r>
            <w:r w:rsidR="00A460F8" w:rsidRPr="00375D5A">
              <w:rPr>
                <w:rFonts w:cstheme="minorHAnsi"/>
                <w:color w:val="323232"/>
                <w:sz w:val="24"/>
                <w:szCs w:val="24"/>
              </w:rPr>
              <w:t xml:space="preserve"> </w:t>
            </w:r>
            <w:r w:rsidRPr="00375D5A">
              <w:rPr>
                <w:rFonts w:cstheme="minorHAnsi"/>
                <w:color w:val="323232"/>
                <w:sz w:val="24"/>
                <w:szCs w:val="24"/>
              </w:rPr>
              <w:t xml:space="preserve">  708,33</w:t>
            </w:r>
          </w:p>
        </w:tc>
      </w:tr>
      <w:tr w:rsidR="00E8779A" w:rsidRPr="00375D5A" w14:paraId="0A442399" w14:textId="77777777" w:rsidTr="00294738">
        <w:trPr>
          <w:tblCellSpacing w:w="7" w:type="dxa"/>
        </w:trPr>
        <w:tc>
          <w:tcPr>
            <w:tcW w:w="1180" w:type="pct"/>
            <w:tcBorders>
              <w:top w:val="outset" w:sz="6" w:space="0" w:color="auto"/>
              <w:left w:val="outset" w:sz="6" w:space="0" w:color="auto"/>
              <w:bottom w:val="outset" w:sz="6" w:space="0" w:color="auto"/>
              <w:right w:val="outset" w:sz="6" w:space="0" w:color="auto"/>
            </w:tcBorders>
          </w:tcPr>
          <w:p w14:paraId="7A28E4A3"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2.083,33</w:t>
            </w:r>
          </w:p>
        </w:tc>
        <w:tc>
          <w:tcPr>
            <w:tcW w:w="1011" w:type="pct"/>
            <w:tcBorders>
              <w:top w:val="outset" w:sz="6" w:space="0" w:color="auto"/>
              <w:left w:val="outset" w:sz="6" w:space="0" w:color="auto"/>
              <w:bottom w:val="outset" w:sz="6" w:space="0" w:color="auto"/>
              <w:right w:val="outset" w:sz="6" w:space="0" w:color="auto"/>
            </w:tcBorders>
          </w:tcPr>
          <w:p w14:paraId="0DD83ECC"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4.166,67</w:t>
            </w:r>
          </w:p>
        </w:tc>
        <w:tc>
          <w:tcPr>
            <w:tcW w:w="812" w:type="pct"/>
            <w:tcBorders>
              <w:top w:val="outset" w:sz="6" w:space="0" w:color="auto"/>
              <w:left w:val="outset" w:sz="6" w:space="0" w:color="auto"/>
              <w:bottom w:val="outset" w:sz="6" w:space="0" w:color="auto"/>
              <w:right w:val="outset" w:sz="6" w:space="0" w:color="auto"/>
            </w:tcBorders>
          </w:tcPr>
          <w:p w14:paraId="3BEDDC12"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470,83</w:t>
            </w:r>
          </w:p>
        </w:tc>
        <w:tc>
          <w:tcPr>
            <w:tcW w:w="1957" w:type="pct"/>
            <w:tcBorders>
              <w:top w:val="outset" w:sz="6" w:space="0" w:color="auto"/>
              <w:left w:val="outset" w:sz="6" w:space="0" w:color="auto"/>
              <w:bottom w:val="outset" w:sz="6" w:space="0" w:color="auto"/>
              <w:right w:val="outset" w:sz="6" w:space="0" w:color="auto"/>
            </w:tcBorders>
            <w:vAlign w:val="center"/>
          </w:tcPr>
          <w:p w14:paraId="2F206EB7" w14:textId="67D90ABE" w:rsidR="00E8779A" w:rsidRPr="00375D5A" w:rsidRDefault="00E8779A" w:rsidP="00294738">
            <w:pPr>
              <w:rPr>
                <w:rFonts w:cstheme="minorHAnsi"/>
                <w:color w:val="323232"/>
                <w:sz w:val="24"/>
                <w:szCs w:val="24"/>
              </w:rPr>
            </w:pPr>
            <w:r w:rsidRPr="00375D5A">
              <w:rPr>
                <w:rFonts w:cstheme="minorHAnsi"/>
                <w:color w:val="323232"/>
                <w:sz w:val="24"/>
                <w:szCs w:val="24"/>
              </w:rPr>
              <w:t>     + 33 % </w:t>
            </w:r>
            <w:r w:rsidR="00A460F8" w:rsidRPr="00375D5A">
              <w:rPr>
                <w:rFonts w:cstheme="minorHAnsi"/>
                <w:color w:val="323232"/>
                <w:sz w:val="24"/>
                <w:szCs w:val="24"/>
              </w:rPr>
              <w:t xml:space="preserve"> </w:t>
            </w:r>
            <w:r w:rsidRPr="00375D5A">
              <w:rPr>
                <w:rFonts w:cstheme="minorHAnsi"/>
                <w:color w:val="323232"/>
                <w:sz w:val="24"/>
                <w:szCs w:val="24"/>
              </w:rPr>
              <w:t> nad 2.083,33</w:t>
            </w:r>
          </w:p>
        </w:tc>
      </w:tr>
      <w:tr w:rsidR="00E8779A" w:rsidRPr="00375D5A" w14:paraId="67042FAF" w14:textId="77777777" w:rsidTr="00294738">
        <w:trPr>
          <w:tblCellSpacing w:w="7" w:type="dxa"/>
        </w:trPr>
        <w:tc>
          <w:tcPr>
            <w:tcW w:w="1180" w:type="pct"/>
            <w:tcBorders>
              <w:top w:val="outset" w:sz="6" w:space="0" w:color="auto"/>
              <w:left w:val="outset" w:sz="6" w:space="0" w:color="auto"/>
              <w:bottom w:val="outset" w:sz="6" w:space="0" w:color="auto"/>
              <w:right w:val="outset" w:sz="6" w:space="0" w:color="auto"/>
            </w:tcBorders>
          </w:tcPr>
          <w:p w14:paraId="73165223"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4.166,67</w:t>
            </w:r>
          </w:p>
        </w:tc>
        <w:tc>
          <w:tcPr>
            <w:tcW w:w="1011" w:type="pct"/>
            <w:tcBorders>
              <w:top w:val="outset" w:sz="6" w:space="0" w:color="auto"/>
              <w:left w:val="outset" w:sz="6" w:space="0" w:color="auto"/>
              <w:bottom w:val="outset" w:sz="6" w:space="0" w:color="auto"/>
              <w:right w:val="outset" w:sz="6" w:space="0" w:color="auto"/>
            </w:tcBorders>
          </w:tcPr>
          <w:p w14:paraId="3A59F357"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6.000,00</w:t>
            </w:r>
          </w:p>
        </w:tc>
        <w:tc>
          <w:tcPr>
            <w:tcW w:w="812" w:type="pct"/>
            <w:tcBorders>
              <w:top w:val="outset" w:sz="6" w:space="0" w:color="auto"/>
              <w:left w:val="outset" w:sz="6" w:space="0" w:color="auto"/>
              <w:bottom w:val="outset" w:sz="6" w:space="0" w:color="auto"/>
              <w:right w:val="outset" w:sz="6" w:space="0" w:color="auto"/>
            </w:tcBorders>
          </w:tcPr>
          <w:p w14:paraId="27D9165E"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1.158,33</w:t>
            </w:r>
          </w:p>
        </w:tc>
        <w:tc>
          <w:tcPr>
            <w:tcW w:w="1957" w:type="pct"/>
            <w:tcBorders>
              <w:top w:val="outset" w:sz="6" w:space="0" w:color="auto"/>
              <w:left w:val="outset" w:sz="6" w:space="0" w:color="auto"/>
              <w:bottom w:val="outset" w:sz="6" w:space="0" w:color="auto"/>
              <w:right w:val="outset" w:sz="6" w:space="0" w:color="auto"/>
            </w:tcBorders>
            <w:vAlign w:val="center"/>
          </w:tcPr>
          <w:p w14:paraId="4E3BCBBF" w14:textId="0C7E0F51" w:rsidR="00E8779A" w:rsidRPr="00375D5A" w:rsidRDefault="00E8779A" w:rsidP="00294738">
            <w:pPr>
              <w:rPr>
                <w:rFonts w:cstheme="minorHAnsi"/>
                <w:color w:val="323232"/>
                <w:sz w:val="24"/>
                <w:szCs w:val="24"/>
              </w:rPr>
            </w:pPr>
            <w:r w:rsidRPr="00375D5A">
              <w:rPr>
                <w:rFonts w:cstheme="minorHAnsi"/>
                <w:color w:val="323232"/>
                <w:sz w:val="24"/>
                <w:szCs w:val="24"/>
              </w:rPr>
              <w:t xml:space="preserve">     + 39 %</w:t>
            </w:r>
            <w:r w:rsidR="00A460F8" w:rsidRPr="00375D5A">
              <w:rPr>
                <w:rFonts w:cstheme="minorHAnsi"/>
                <w:color w:val="323232"/>
                <w:sz w:val="24"/>
                <w:szCs w:val="24"/>
              </w:rPr>
              <w:t xml:space="preserve"> </w:t>
            </w:r>
            <w:r w:rsidRPr="00375D5A">
              <w:rPr>
                <w:rFonts w:cstheme="minorHAnsi"/>
                <w:color w:val="323232"/>
                <w:sz w:val="24"/>
                <w:szCs w:val="24"/>
              </w:rPr>
              <w:t xml:space="preserve">  nad 4.166,67</w:t>
            </w:r>
          </w:p>
        </w:tc>
      </w:tr>
      <w:tr w:rsidR="00E8779A" w:rsidRPr="00375D5A" w14:paraId="0970CF5F" w14:textId="77777777" w:rsidTr="00294738">
        <w:trPr>
          <w:tblCellSpacing w:w="7" w:type="dxa"/>
        </w:trPr>
        <w:tc>
          <w:tcPr>
            <w:tcW w:w="1180" w:type="pct"/>
            <w:tcBorders>
              <w:top w:val="outset" w:sz="6" w:space="0" w:color="auto"/>
              <w:left w:val="outset" w:sz="6" w:space="0" w:color="auto"/>
              <w:bottom w:val="outset" w:sz="6" w:space="0" w:color="auto"/>
              <w:right w:val="outset" w:sz="6" w:space="0" w:color="auto"/>
            </w:tcBorders>
          </w:tcPr>
          <w:p w14:paraId="26A6297D"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6.000,00</w:t>
            </w:r>
          </w:p>
        </w:tc>
        <w:tc>
          <w:tcPr>
            <w:tcW w:w="1011" w:type="pct"/>
            <w:tcBorders>
              <w:top w:val="outset" w:sz="6" w:space="0" w:color="auto"/>
              <w:left w:val="outset" w:sz="6" w:space="0" w:color="auto"/>
              <w:bottom w:val="outset" w:sz="6" w:space="0" w:color="auto"/>
              <w:right w:val="outset" w:sz="6" w:space="0" w:color="auto"/>
            </w:tcBorders>
            <w:vAlign w:val="center"/>
          </w:tcPr>
          <w:p w14:paraId="4F925CE0" w14:textId="77777777" w:rsidR="00E8779A" w:rsidRPr="00375D5A" w:rsidRDefault="00E8779A" w:rsidP="00294738">
            <w:pPr>
              <w:jc w:val="right"/>
              <w:rPr>
                <w:rFonts w:cstheme="minorHAnsi"/>
                <w:color w:val="323232"/>
                <w:sz w:val="24"/>
                <w:szCs w:val="24"/>
              </w:rPr>
            </w:pPr>
          </w:p>
        </w:tc>
        <w:tc>
          <w:tcPr>
            <w:tcW w:w="812" w:type="pct"/>
            <w:tcBorders>
              <w:top w:val="outset" w:sz="6" w:space="0" w:color="auto"/>
              <w:left w:val="outset" w:sz="6" w:space="0" w:color="auto"/>
              <w:bottom w:val="outset" w:sz="6" w:space="0" w:color="auto"/>
              <w:right w:val="outset" w:sz="6" w:space="0" w:color="auto"/>
            </w:tcBorders>
          </w:tcPr>
          <w:p w14:paraId="3D01ED9E" w14:textId="77777777" w:rsidR="00E8779A" w:rsidRPr="00375D5A" w:rsidRDefault="00E8779A" w:rsidP="00294738">
            <w:pPr>
              <w:jc w:val="right"/>
              <w:rPr>
                <w:rFonts w:cstheme="minorHAnsi"/>
                <w:color w:val="323232"/>
                <w:sz w:val="24"/>
                <w:szCs w:val="24"/>
              </w:rPr>
            </w:pPr>
            <w:r w:rsidRPr="00375D5A">
              <w:rPr>
                <w:rFonts w:cstheme="minorHAnsi"/>
                <w:color w:val="323232"/>
                <w:sz w:val="24"/>
                <w:szCs w:val="24"/>
              </w:rPr>
              <w:t>1.873,33</w:t>
            </w:r>
          </w:p>
        </w:tc>
        <w:tc>
          <w:tcPr>
            <w:tcW w:w="1957" w:type="pct"/>
            <w:tcBorders>
              <w:top w:val="outset" w:sz="6" w:space="0" w:color="auto"/>
              <w:left w:val="outset" w:sz="6" w:space="0" w:color="auto"/>
              <w:bottom w:val="outset" w:sz="6" w:space="0" w:color="auto"/>
              <w:right w:val="outset" w:sz="6" w:space="0" w:color="auto"/>
            </w:tcBorders>
            <w:vAlign w:val="center"/>
          </w:tcPr>
          <w:p w14:paraId="0E05A3FD" w14:textId="5B1E464E" w:rsidR="00E8779A" w:rsidRPr="00375D5A" w:rsidRDefault="00E8779A" w:rsidP="00294738">
            <w:pPr>
              <w:rPr>
                <w:rFonts w:cstheme="minorHAnsi"/>
                <w:color w:val="323232"/>
                <w:sz w:val="24"/>
                <w:szCs w:val="24"/>
              </w:rPr>
            </w:pPr>
            <w:r w:rsidRPr="00375D5A">
              <w:rPr>
                <w:rFonts w:cstheme="minorHAnsi"/>
                <w:color w:val="323232"/>
                <w:sz w:val="24"/>
                <w:szCs w:val="24"/>
              </w:rPr>
              <w:t xml:space="preserve">     + 50 % </w:t>
            </w:r>
            <w:r w:rsidR="00A460F8" w:rsidRPr="00375D5A">
              <w:rPr>
                <w:rFonts w:cstheme="minorHAnsi"/>
                <w:color w:val="323232"/>
                <w:sz w:val="24"/>
                <w:szCs w:val="24"/>
              </w:rPr>
              <w:t xml:space="preserve"> </w:t>
            </w:r>
            <w:r w:rsidRPr="00375D5A">
              <w:rPr>
                <w:rFonts w:cstheme="minorHAnsi"/>
                <w:color w:val="323232"/>
                <w:sz w:val="24"/>
                <w:szCs w:val="24"/>
              </w:rPr>
              <w:t xml:space="preserve"> nad 6.000,00</w:t>
            </w:r>
          </w:p>
        </w:tc>
      </w:tr>
    </w:tbl>
    <w:p w14:paraId="47D0144D" w14:textId="77777777" w:rsidR="00E8779A" w:rsidRPr="00375D5A" w:rsidRDefault="00E8779A" w:rsidP="00E8779A">
      <w:pPr>
        <w:rPr>
          <w:rFonts w:cstheme="minorHAnsi"/>
          <w:sz w:val="24"/>
          <w:szCs w:val="24"/>
        </w:rPr>
      </w:pPr>
    </w:p>
    <w:p w14:paraId="7FEBBD0C" w14:textId="77777777" w:rsidR="00E8779A" w:rsidRPr="00375D5A" w:rsidRDefault="00E8779A" w:rsidP="005D1614">
      <w:pPr>
        <w:autoSpaceDE w:val="0"/>
        <w:autoSpaceDN w:val="0"/>
        <w:adjustRightInd w:val="0"/>
        <w:spacing w:after="0" w:line="240" w:lineRule="auto"/>
        <w:rPr>
          <w:rFonts w:cstheme="minorHAnsi"/>
          <w:sz w:val="24"/>
          <w:szCs w:val="24"/>
        </w:rPr>
      </w:pPr>
    </w:p>
    <w:p w14:paraId="2253A3AE" w14:textId="5921E4AE" w:rsidR="005D1614" w:rsidRPr="00375D5A" w:rsidRDefault="00E8779A" w:rsidP="005D1614">
      <w:pPr>
        <w:autoSpaceDE w:val="0"/>
        <w:autoSpaceDN w:val="0"/>
        <w:adjustRightInd w:val="0"/>
        <w:spacing w:after="0" w:line="240" w:lineRule="auto"/>
        <w:rPr>
          <w:rFonts w:cstheme="minorHAnsi"/>
          <w:b/>
          <w:bCs/>
          <w:sz w:val="24"/>
          <w:szCs w:val="24"/>
        </w:rPr>
      </w:pPr>
      <w:r w:rsidRPr="00375D5A">
        <w:rPr>
          <w:rFonts w:cstheme="minorHAnsi"/>
          <w:b/>
          <w:bCs/>
          <w:sz w:val="24"/>
          <w:szCs w:val="24"/>
        </w:rPr>
        <w:t>09</w:t>
      </w:r>
      <w:r w:rsidR="005D1614" w:rsidRPr="00375D5A">
        <w:rPr>
          <w:rFonts w:cstheme="minorHAnsi"/>
          <w:b/>
          <w:bCs/>
          <w:sz w:val="24"/>
          <w:szCs w:val="24"/>
        </w:rPr>
        <w:t>. Spremembe na področju vzdrževanih družinskih članov (20. in 21. člen ZDoh-2V)</w:t>
      </w:r>
    </w:p>
    <w:p w14:paraId="01AC6505" w14:textId="77777777" w:rsidR="005D1614" w:rsidRPr="00375D5A" w:rsidRDefault="005D1614" w:rsidP="005D1614">
      <w:pPr>
        <w:autoSpaceDE w:val="0"/>
        <w:autoSpaceDN w:val="0"/>
        <w:adjustRightInd w:val="0"/>
        <w:spacing w:after="0" w:line="240" w:lineRule="auto"/>
        <w:rPr>
          <w:rFonts w:cstheme="minorHAnsi"/>
          <w:b/>
          <w:bCs/>
          <w:sz w:val="24"/>
          <w:szCs w:val="24"/>
        </w:rPr>
      </w:pPr>
    </w:p>
    <w:p w14:paraId="7C26EAFC" w14:textId="5B3B7353" w:rsidR="005D1614" w:rsidRPr="00375D5A"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Zaradi spremembe pogojev za pridobitev statusa invalida po Zakonu o socialnem vključevanju invalidov (v nadaljevanju: ZSVI) in sprememb na področju družinske zakonodaje, se spreminjata 114. in 115. člen ZDoh-2 v delu, ki opredeljuje pogoje v zvezi z vzdrževanimi družinskimi člani, otroki, ki potrebujejo posebno nego in varstvo.</w:t>
      </w:r>
    </w:p>
    <w:p w14:paraId="12C4211B" w14:textId="77777777" w:rsidR="005D1614" w:rsidRPr="00375D5A" w:rsidRDefault="005D1614" w:rsidP="005D1614">
      <w:pPr>
        <w:autoSpaceDE w:val="0"/>
        <w:autoSpaceDN w:val="0"/>
        <w:adjustRightInd w:val="0"/>
        <w:spacing w:after="0" w:line="240" w:lineRule="auto"/>
        <w:rPr>
          <w:rFonts w:cstheme="minorHAnsi"/>
          <w:sz w:val="24"/>
          <w:szCs w:val="24"/>
        </w:rPr>
      </w:pPr>
    </w:p>
    <w:p w14:paraId="7C11B6E9" w14:textId="0936B625" w:rsidR="005D1614" w:rsidRPr="00375D5A" w:rsidRDefault="005D1614" w:rsidP="005D1614">
      <w:pPr>
        <w:autoSpaceDE w:val="0"/>
        <w:autoSpaceDN w:val="0"/>
        <w:adjustRightInd w:val="0"/>
        <w:spacing w:after="0" w:line="240" w:lineRule="auto"/>
        <w:rPr>
          <w:rFonts w:cstheme="minorHAnsi"/>
          <w:b/>
          <w:bCs/>
          <w:sz w:val="24"/>
          <w:szCs w:val="24"/>
        </w:rPr>
      </w:pPr>
      <w:r w:rsidRPr="00375D5A">
        <w:rPr>
          <w:rFonts w:cstheme="minorHAnsi"/>
          <w:b/>
          <w:bCs/>
          <w:sz w:val="24"/>
          <w:szCs w:val="24"/>
        </w:rPr>
        <w:t>Posebna olajšava</w:t>
      </w:r>
    </w:p>
    <w:p w14:paraId="12F658CD" w14:textId="77777777" w:rsidR="005D1614" w:rsidRPr="00375D5A" w:rsidRDefault="005D1614" w:rsidP="005D1614">
      <w:pPr>
        <w:autoSpaceDE w:val="0"/>
        <w:autoSpaceDN w:val="0"/>
        <w:adjustRightInd w:val="0"/>
        <w:spacing w:after="0" w:line="240" w:lineRule="auto"/>
        <w:rPr>
          <w:rFonts w:cstheme="minorHAnsi"/>
          <w:b/>
          <w:bCs/>
          <w:sz w:val="24"/>
          <w:szCs w:val="24"/>
        </w:rPr>
      </w:pPr>
    </w:p>
    <w:p w14:paraId="2D81C5A9" w14:textId="4F7B70B6" w:rsidR="005D1614" w:rsidRPr="00375D5A"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 xml:space="preserve">21. člen ZDoh-2V se nanaša na spremembe v 114. členu. V tretjem odstavku se 3. točka spremeni tako, da se navedba predpisa o družbenem varstvu telesno in duševno prizadetih oseb nadomesti z navedbo ZSVI, črta pa se navedba, da je otrok za delo nezmožen. Razlog je v tem, da je spremenje na vsebina ZSVI v primerjavi z Zakonom o družbenem varstvu duševno in telesno prizadetih oseb (v nadaljevanju: ZDVDTP), po katerem je bila telesno in duševno prizadeta oseba samo tista, ki se ni mogla usposobiti za samostojno življenje in delo. V skladu z ZSVI so invalidi osebe, ki (med drugim) ne morejo samostojno opravljati večine ali vseh življenjskih potreb in si zagotavljati sredstev za preživljanje. Prav tako iz vsebine 5. člena ZSVI izhaja, da so invalidi upravičeni do pravice do denarnega nadomestila v zmanjšani obliki, če sklenejo delovno razmerje, pravico v polnem znesku pa pridobijo, ko jim delovno razmerje preneha. Invalidi so tako v skladu z ZSVI tudi tisti, ki so (še) zmožni za delo, pri tem pa iz zakona ne izhaja, da se v postopku pridobivanja statusa po tem zakonu </w:t>
      </w:r>
      <w:r w:rsidRPr="00375D5A">
        <w:rPr>
          <w:rFonts w:cstheme="minorHAnsi"/>
          <w:sz w:val="24"/>
          <w:szCs w:val="24"/>
        </w:rPr>
        <w:lastRenderedPageBreak/>
        <w:t>ugotavlja, ali je taka oseba za delo zmožna ali ne. Na podlagi tega je tako v davčnem postopku neprimerno in nemogoče ohranjati opredelitev »za delo nezmožen«, saj davčni organ nima posebnega znanja, ki bi ga taka opredelitev od njega zahtevala, poleg tega bi bil postopek ugotavljanja takega dejstva prezahteven, preobširen in</w:t>
      </w:r>
      <w:r w:rsidR="000A53C5">
        <w:rPr>
          <w:rFonts w:cstheme="minorHAnsi"/>
          <w:sz w:val="24"/>
          <w:szCs w:val="24"/>
        </w:rPr>
        <w:t xml:space="preserve"> </w:t>
      </w:r>
      <w:r w:rsidRPr="00375D5A">
        <w:rPr>
          <w:rFonts w:cstheme="minorHAnsi"/>
          <w:sz w:val="24"/>
          <w:szCs w:val="24"/>
        </w:rPr>
        <w:t>neekonomičen.</w:t>
      </w:r>
    </w:p>
    <w:p w14:paraId="25E2E1E3" w14:textId="0C436234" w:rsidR="005D1614" w:rsidRPr="00375D5A"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Peti odstavek 114. člena ZDoh-2 je spremenjen tako, da se uskladi sprememba zakonodaje, in sicer iz ZDVDTP v ZSVI in ohrani nevezanost na starost otroka.</w:t>
      </w:r>
    </w:p>
    <w:p w14:paraId="18170B89" w14:textId="45DD6A24" w:rsidR="005D1614" w:rsidRPr="00375D5A"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V osmem odstavku 114. člena ZDoh-2 se usklajuje sprememba zakonodaje, in sicer iz ZDVDTP v ZSVI, saj tudi ZSVI ohranja pristojnost centrov za socialno delo v zvezi z odločanjem o statusu invalida (oziroma prej status duševno in telesno prizadetih oseb, ki se ne morejo usposobiti za samostojno življenje in delo).</w:t>
      </w:r>
    </w:p>
    <w:p w14:paraId="5A3DBB12" w14:textId="77777777" w:rsidR="005D1614" w:rsidRPr="00375D5A" w:rsidRDefault="005D1614" w:rsidP="005D1614">
      <w:pPr>
        <w:autoSpaceDE w:val="0"/>
        <w:autoSpaceDN w:val="0"/>
        <w:adjustRightInd w:val="0"/>
        <w:spacing w:after="0" w:line="240" w:lineRule="auto"/>
        <w:rPr>
          <w:rFonts w:cstheme="minorHAnsi"/>
          <w:sz w:val="24"/>
          <w:szCs w:val="24"/>
        </w:rPr>
      </w:pPr>
    </w:p>
    <w:p w14:paraId="5EBDC575" w14:textId="77777777" w:rsidR="00E8779A" w:rsidRPr="00375D5A" w:rsidRDefault="00E8779A" w:rsidP="005D1614">
      <w:pPr>
        <w:autoSpaceDE w:val="0"/>
        <w:autoSpaceDN w:val="0"/>
        <w:adjustRightInd w:val="0"/>
        <w:spacing w:after="0" w:line="240" w:lineRule="auto"/>
        <w:rPr>
          <w:rFonts w:cstheme="minorHAnsi"/>
          <w:b/>
          <w:bCs/>
          <w:sz w:val="24"/>
          <w:szCs w:val="24"/>
        </w:rPr>
      </w:pPr>
    </w:p>
    <w:p w14:paraId="47224D47" w14:textId="044ED13D" w:rsidR="005D1614" w:rsidRPr="00375D5A" w:rsidRDefault="005D1614" w:rsidP="005D1614">
      <w:pPr>
        <w:autoSpaceDE w:val="0"/>
        <w:autoSpaceDN w:val="0"/>
        <w:adjustRightInd w:val="0"/>
        <w:spacing w:after="0" w:line="240" w:lineRule="auto"/>
        <w:rPr>
          <w:rFonts w:cstheme="minorHAnsi"/>
          <w:b/>
          <w:bCs/>
          <w:sz w:val="24"/>
          <w:szCs w:val="24"/>
        </w:rPr>
      </w:pPr>
      <w:r w:rsidRPr="00375D5A">
        <w:rPr>
          <w:rFonts w:cstheme="minorHAnsi"/>
          <w:b/>
          <w:bCs/>
          <w:sz w:val="24"/>
          <w:szCs w:val="24"/>
        </w:rPr>
        <w:t xml:space="preserve">Vzdrževani družinski člani </w:t>
      </w:r>
    </w:p>
    <w:p w14:paraId="5C8A285F" w14:textId="77777777" w:rsidR="005D1614" w:rsidRPr="00375D5A" w:rsidRDefault="005D1614" w:rsidP="005D1614">
      <w:pPr>
        <w:autoSpaceDE w:val="0"/>
        <w:autoSpaceDN w:val="0"/>
        <w:adjustRightInd w:val="0"/>
        <w:spacing w:after="0" w:line="240" w:lineRule="auto"/>
        <w:rPr>
          <w:rFonts w:cstheme="minorHAnsi"/>
          <w:b/>
          <w:bCs/>
          <w:sz w:val="24"/>
          <w:szCs w:val="24"/>
        </w:rPr>
      </w:pPr>
    </w:p>
    <w:p w14:paraId="02CF8FA2" w14:textId="08A048AB" w:rsidR="005D1614" w:rsidRPr="00375D5A"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Z 21. členom ZDoh-2V se spreminja 115. člen. Zaradi ukinjanja gospodinjske evidence v skladu z Zakonom o prijavi prebivališča (ZPPreb), se 115. člen spreminja v četrtem in devetem odstavku v delu, kjer je bilo priznanje posebne olajšave za vzdrževane družinske člane do spremembe vezano na obstoj skupnega gospodinjstva otroka in staršev oziroma posvojiteljev (četrti odstavek) oziroma</w:t>
      </w:r>
      <w:r w:rsidR="000A53C5">
        <w:rPr>
          <w:rFonts w:cstheme="minorHAnsi"/>
          <w:sz w:val="24"/>
          <w:szCs w:val="24"/>
        </w:rPr>
        <w:t xml:space="preserve"> </w:t>
      </w:r>
      <w:r w:rsidRPr="00375D5A">
        <w:rPr>
          <w:rFonts w:cstheme="minorHAnsi"/>
          <w:sz w:val="24"/>
          <w:szCs w:val="24"/>
        </w:rPr>
        <w:t>zavezanca in njegovih staršev (deveti odstavek), po novem pa je vezano na prijavljeno isto stalno prebivališče po predpisih o prijavi prebivališča.</w:t>
      </w:r>
    </w:p>
    <w:p w14:paraId="2A31267A" w14:textId="2641B023" w:rsidR="005D1614" w:rsidRPr="00375D5A"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S spremembo sedmega odstavka 115. člena ZDoh-2 se je uskladila sprememba zakonodaje, in sicer iz ZDVDTP v ZSVI. Otrok, ki po 18. letu starosti nadaljujejo šolanje na srednji, višji ali visoki stopnji, se šteje za vzdrževanega družinskega člana ne glede na pogoje iz četrtega do šestega odstavka 115. člena ZDoh-2. Ne zahteva se npr. neprekinjenost šolanja, omejitev lastnih dohodkov, šolanje do 26. leta.</w:t>
      </w:r>
    </w:p>
    <w:p w14:paraId="4D0F9A5D" w14:textId="3745D238" w:rsidR="005D1614" w:rsidRPr="00375D5A"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Otrok, ki se ne šola, pa se šteje za vzdrževanega družinskega člana ne glede na četrti odstavek 115. člena (ne zahteva se npr. pogoj stalnega prebivališča, prijava pri službi za zaposlovanje), ob dodanem pogoju, da nima lastnih dohodkov za preživljanje ali so ti nižji od višine posebne olajšave za vzdrževanega otroka, ki potrebuje posebno nego in varstvo, določene v 2. točki prvega odstavka 114. člena ZDoh-2. Za lastne dohodke se štejejo vsi dohodki po ZDoh-2, razen dodatka</w:t>
      </w:r>
      <w:r w:rsidR="000A53C5">
        <w:rPr>
          <w:rFonts w:cstheme="minorHAnsi"/>
          <w:sz w:val="24"/>
          <w:szCs w:val="24"/>
        </w:rPr>
        <w:t xml:space="preserve"> </w:t>
      </w:r>
      <w:r w:rsidRPr="00375D5A">
        <w:rPr>
          <w:rFonts w:cstheme="minorHAnsi"/>
          <w:sz w:val="24"/>
          <w:szCs w:val="24"/>
        </w:rPr>
        <w:t>za pomoč in postrežbo po zakonu o vojnih veteranih, zakonu o vojnih invalidih, zakonu o socialnem vključevanju invalidov ter zakonu o pokojninskem in invalidskem zavarovanju. Deveti odstavek 115. člena ZDoh-2 se spreminja oziroma razširja v delu, ki se nanaša na možnost uveljavljanja posebne olajšave za vzdrževane starše ali posvojitelje zavezanca. Zaradi drugačne ureditve pravice do preživnine na področju družinske zakonodaje, se uvaja tudi dodatna možnost za uveljavljanje posebne olajšave za vzdrževane starše ali posvojitelje ob izpolnjevanju pogoja</w:t>
      </w:r>
      <w:r w:rsidR="000A53C5">
        <w:rPr>
          <w:rFonts w:cstheme="minorHAnsi"/>
          <w:sz w:val="24"/>
          <w:szCs w:val="24"/>
        </w:rPr>
        <w:t xml:space="preserve"> </w:t>
      </w:r>
      <w:r w:rsidRPr="00375D5A">
        <w:rPr>
          <w:rFonts w:cstheme="minorHAnsi"/>
          <w:sz w:val="24"/>
          <w:szCs w:val="24"/>
        </w:rPr>
        <w:t>sklenjenega sporazuma o preživnini v obliki neposredno izvršljivega notarskega zapisa v skladu z zakonom, ki ureja družinska razmerja.</w:t>
      </w:r>
    </w:p>
    <w:p w14:paraId="1C5772B8" w14:textId="61D8C7D8" w:rsidR="005D1614" w:rsidRPr="00375D5A" w:rsidRDefault="005D1614" w:rsidP="005D1614">
      <w:pPr>
        <w:autoSpaceDE w:val="0"/>
        <w:autoSpaceDN w:val="0"/>
        <w:adjustRightInd w:val="0"/>
        <w:spacing w:after="0" w:line="240" w:lineRule="auto"/>
        <w:rPr>
          <w:rFonts w:cstheme="minorHAnsi"/>
          <w:sz w:val="24"/>
          <w:szCs w:val="24"/>
        </w:rPr>
      </w:pPr>
    </w:p>
    <w:p w14:paraId="695724AA" w14:textId="77777777" w:rsidR="001034FF" w:rsidRDefault="001034FF" w:rsidP="005D1614">
      <w:pPr>
        <w:autoSpaceDE w:val="0"/>
        <w:autoSpaceDN w:val="0"/>
        <w:adjustRightInd w:val="0"/>
        <w:spacing w:after="0" w:line="240" w:lineRule="auto"/>
        <w:rPr>
          <w:rFonts w:cstheme="minorHAnsi"/>
          <w:b/>
          <w:bCs/>
          <w:sz w:val="24"/>
          <w:szCs w:val="24"/>
        </w:rPr>
      </w:pPr>
    </w:p>
    <w:p w14:paraId="12410926" w14:textId="77777777" w:rsidR="001034FF" w:rsidRDefault="001034FF" w:rsidP="005D1614">
      <w:pPr>
        <w:autoSpaceDE w:val="0"/>
        <w:autoSpaceDN w:val="0"/>
        <w:adjustRightInd w:val="0"/>
        <w:spacing w:after="0" w:line="240" w:lineRule="auto"/>
        <w:rPr>
          <w:rFonts w:cstheme="minorHAnsi"/>
          <w:b/>
          <w:bCs/>
          <w:sz w:val="24"/>
          <w:szCs w:val="24"/>
        </w:rPr>
      </w:pPr>
    </w:p>
    <w:p w14:paraId="6569E571" w14:textId="4F267AC7" w:rsidR="005D1614" w:rsidRPr="00375D5A" w:rsidRDefault="005D1614" w:rsidP="005D1614">
      <w:pPr>
        <w:autoSpaceDE w:val="0"/>
        <w:autoSpaceDN w:val="0"/>
        <w:adjustRightInd w:val="0"/>
        <w:spacing w:after="0" w:line="240" w:lineRule="auto"/>
        <w:rPr>
          <w:rFonts w:cstheme="minorHAnsi"/>
          <w:b/>
          <w:bCs/>
          <w:sz w:val="24"/>
          <w:szCs w:val="24"/>
        </w:rPr>
      </w:pPr>
      <w:r w:rsidRPr="00375D5A">
        <w:rPr>
          <w:rFonts w:cstheme="minorHAnsi"/>
          <w:b/>
          <w:bCs/>
          <w:sz w:val="24"/>
          <w:szCs w:val="24"/>
        </w:rPr>
        <w:t>1</w:t>
      </w:r>
      <w:r w:rsidR="00E8779A" w:rsidRPr="00375D5A">
        <w:rPr>
          <w:rFonts w:cstheme="minorHAnsi"/>
          <w:b/>
          <w:bCs/>
          <w:sz w:val="24"/>
          <w:szCs w:val="24"/>
        </w:rPr>
        <w:t>0</w:t>
      </w:r>
      <w:r w:rsidRPr="00375D5A">
        <w:rPr>
          <w:rFonts w:cstheme="minorHAnsi"/>
          <w:b/>
          <w:bCs/>
          <w:sz w:val="24"/>
          <w:szCs w:val="24"/>
        </w:rPr>
        <w:t>. Namenitev dela dohodnine za donacije (28. člen ZDoh-2V)</w:t>
      </w:r>
    </w:p>
    <w:p w14:paraId="4B477E80" w14:textId="77777777" w:rsidR="005D1614" w:rsidRPr="00375D5A" w:rsidRDefault="005D1614" w:rsidP="005D1614">
      <w:pPr>
        <w:autoSpaceDE w:val="0"/>
        <w:autoSpaceDN w:val="0"/>
        <w:adjustRightInd w:val="0"/>
        <w:spacing w:after="0" w:line="240" w:lineRule="auto"/>
        <w:rPr>
          <w:rFonts w:cstheme="minorHAnsi"/>
          <w:b/>
          <w:bCs/>
          <w:sz w:val="24"/>
          <w:szCs w:val="24"/>
        </w:rPr>
      </w:pPr>
    </w:p>
    <w:p w14:paraId="2FE7F27C" w14:textId="0D917C2A" w:rsidR="005D1614" w:rsidRPr="00375D5A"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 xml:space="preserve">Sprememba 142. člen ZDoh-2 je posledica uveljavitve Zakona o nevladnih organizacijah (ZNOrg), ki celovito ureja področje nevladnih organizacij, določa pa tudi status nevladnih organizacij v javnem interesu. Navedeni ureditvi v ZNOrg sledi tudi sprememba 142. člena </w:t>
      </w:r>
      <w:r w:rsidRPr="00375D5A">
        <w:rPr>
          <w:rFonts w:cstheme="minorHAnsi"/>
          <w:sz w:val="24"/>
          <w:szCs w:val="24"/>
        </w:rPr>
        <w:lastRenderedPageBreak/>
        <w:t>ZDoh-2, in sicer pri določitvi upravičencev upošteva upravičence, ki so kot nevladne organizacije v javnem interesu določeni v skladu z ZNOrg, še vedno pa ohranja določene upravičence, ki so bili kot upravičenci</w:t>
      </w:r>
    </w:p>
    <w:p w14:paraId="38D781B1" w14:textId="6096110D" w:rsidR="005D1614" w:rsidRPr="00375D5A"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določeni že v veljavni ureditvi, in sicer politične stranke, reprezentativne sindikate, registrirane cerkve in druge verske skupnosti. Za upravičence tekočega leta se štejejo tisti upravičenci, ki so izpolnjevali pogoje oziroma pridobili status nevladne organizacije v javnem interesu najpozneje na dan 31. decembra preteklega leta.</w:t>
      </w:r>
    </w:p>
    <w:p w14:paraId="7C948D6F" w14:textId="41273462" w:rsidR="005D1614" w:rsidRPr="00375D5A"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Spreminja se tudi način pošiljanja oziroma pridobivanja podatkov o upravičencih. Po novem bo podatke o nevladnih organizacijah v javnem interesu zagotavljala Agencija za javnopravne evidence in storitve (AJPES), ki vodi evidenco nevladnih organizacij v javnem interesu. Navedene podatke bo AJPES enkrat letno, brezplačno posredovala Finančni upravi Republike Slovenije (FURS), in sicer za namene priprave in objave seznama upravičencev do donacij za posamezno leto. Pogoje iz 142. člena ZDoh-2 nevladne organizacije izpolnjujejo, če izpolnjujejo pogoje, določene v ZNOrg in so vpisane v evidenco nevladnih organizacij v javnem interesu na presečni datum.</w:t>
      </w:r>
    </w:p>
    <w:p w14:paraId="2F48D6AB" w14:textId="5FCA8E5F" w:rsidR="005D1614" w:rsidRPr="00375D5A"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Podatke o političnih strankah, reprezentativnih sindikatih ter registriranih cerkvah in drugih verskih skupnostih pa bo pristojni organ posredoval enkrat letno, brezplačno Ministrstvu za finance, in sicer za namene priprave seznama upravičencev do donacij za posamezno leto. Namen ureditve 142. člena ZDoh-2 se glede na veljavno ureditev ne spreminja, kar pomeni, da bodo zavezanci še vedno del svoje dohodnine (do 0,5 %) namenili eni izmed nevladnih organizacij v javnem interesu, politični stranki, reprezentativnemu sindikatu, registrirani cerkvi ali verski skupnosti.</w:t>
      </w:r>
    </w:p>
    <w:p w14:paraId="5477A2DA" w14:textId="28A12C67" w:rsidR="005D1614" w:rsidRPr="00375D5A"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Vlada bo določila podrobnejše postopke za izvajanje tega člena in določila seznam upravičencev do donacij.</w:t>
      </w:r>
    </w:p>
    <w:p w14:paraId="4A313DEA" w14:textId="77777777" w:rsidR="00A460F8" w:rsidRPr="00375D5A" w:rsidRDefault="00A460F8" w:rsidP="005D1614">
      <w:pPr>
        <w:autoSpaceDE w:val="0"/>
        <w:autoSpaceDN w:val="0"/>
        <w:adjustRightInd w:val="0"/>
        <w:spacing w:after="0" w:line="240" w:lineRule="auto"/>
        <w:rPr>
          <w:rFonts w:cstheme="minorHAnsi"/>
          <w:sz w:val="24"/>
          <w:szCs w:val="24"/>
        </w:rPr>
      </w:pPr>
    </w:p>
    <w:p w14:paraId="40EEDB57" w14:textId="4D96AE15" w:rsidR="005D1614" w:rsidRPr="00375D5A" w:rsidRDefault="005D1614" w:rsidP="005D1614">
      <w:pPr>
        <w:autoSpaceDE w:val="0"/>
        <w:autoSpaceDN w:val="0"/>
        <w:adjustRightInd w:val="0"/>
        <w:spacing w:after="0" w:line="240" w:lineRule="auto"/>
        <w:rPr>
          <w:rFonts w:cstheme="minorHAnsi"/>
          <w:b/>
          <w:bCs/>
          <w:sz w:val="24"/>
          <w:szCs w:val="24"/>
        </w:rPr>
      </w:pPr>
      <w:r w:rsidRPr="00375D5A">
        <w:rPr>
          <w:rFonts w:cstheme="minorHAnsi"/>
          <w:b/>
          <w:bCs/>
          <w:sz w:val="24"/>
          <w:szCs w:val="24"/>
        </w:rPr>
        <w:t>1</w:t>
      </w:r>
      <w:r w:rsidR="00A460F8" w:rsidRPr="00375D5A">
        <w:rPr>
          <w:rFonts w:cstheme="minorHAnsi"/>
          <w:b/>
          <w:bCs/>
          <w:sz w:val="24"/>
          <w:szCs w:val="24"/>
        </w:rPr>
        <w:t>1</w:t>
      </w:r>
      <w:r w:rsidRPr="00375D5A">
        <w:rPr>
          <w:rFonts w:cstheme="minorHAnsi"/>
          <w:b/>
          <w:bCs/>
          <w:sz w:val="24"/>
          <w:szCs w:val="24"/>
        </w:rPr>
        <w:t>. Uveljavitev ZDoh-2V (30. člen ZDoh-2V)</w:t>
      </w:r>
    </w:p>
    <w:p w14:paraId="3C9EAC18" w14:textId="77777777" w:rsidR="005D1614" w:rsidRPr="00375D5A" w:rsidRDefault="005D1614" w:rsidP="005D1614">
      <w:pPr>
        <w:autoSpaceDE w:val="0"/>
        <w:autoSpaceDN w:val="0"/>
        <w:adjustRightInd w:val="0"/>
        <w:spacing w:after="0" w:line="240" w:lineRule="auto"/>
        <w:rPr>
          <w:rFonts w:cstheme="minorHAnsi"/>
          <w:b/>
          <w:bCs/>
          <w:sz w:val="24"/>
          <w:szCs w:val="24"/>
        </w:rPr>
      </w:pPr>
    </w:p>
    <w:p w14:paraId="138B3025" w14:textId="0C3BCEFC" w:rsidR="005D1614" w:rsidRDefault="005D1614" w:rsidP="005D1614">
      <w:pPr>
        <w:autoSpaceDE w:val="0"/>
        <w:autoSpaceDN w:val="0"/>
        <w:adjustRightInd w:val="0"/>
        <w:spacing w:after="0" w:line="240" w:lineRule="auto"/>
        <w:rPr>
          <w:rFonts w:cstheme="minorHAnsi"/>
          <w:sz w:val="24"/>
          <w:szCs w:val="24"/>
        </w:rPr>
      </w:pPr>
      <w:r w:rsidRPr="00375D5A">
        <w:rPr>
          <w:rFonts w:cstheme="minorHAnsi"/>
          <w:sz w:val="24"/>
          <w:szCs w:val="24"/>
        </w:rPr>
        <w:t>ZDoh-2S se začne uporabljati za davčna leta od vključno 1. januarja 2020, dotlej pa se uporablja Zakon o dohodnini (Uradni list, RS, št. 13/11 – uradno prečiščeno besedilo, 9/12 – odl. US, 24/12, 30/12, 40/12 – ZUJF, 75/12, 94/12, 52/13 – odl. US, 96/13, 29/14 – odl. US, 50/14, 23/15, 55/15, 63/16, 69/17, 21/19 in 28719).</w:t>
      </w:r>
    </w:p>
    <w:p w14:paraId="6D804EE5" w14:textId="6E5F8D9E" w:rsidR="001938DC" w:rsidRDefault="001938DC" w:rsidP="005D1614">
      <w:pPr>
        <w:autoSpaceDE w:val="0"/>
        <w:autoSpaceDN w:val="0"/>
        <w:adjustRightInd w:val="0"/>
        <w:spacing w:after="0" w:line="240" w:lineRule="auto"/>
        <w:rPr>
          <w:rFonts w:cstheme="minorHAnsi"/>
          <w:sz w:val="24"/>
          <w:szCs w:val="24"/>
        </w:rPr>
      </w:pPr>
    </w:p>
    <w:p w14:paraId="62C8CBED" w14:textId="4C4421BB" w:rsidR="001938DC" w:rsidRDefault="001938DC" w:rsidP="005D1614">
      <w:pPr>
        <w:autoSpaceDE w:val="0"/>
        <w:autoSpaceDN w:val="0"/>
        <w:adjustRightInd w:val="0"/>
        <w:spacing w:after="0" w:line="240" w:lineRule="auto"/>
        <w:rPr>
          <w:rFonts w:cstheme="minorHAnsi"/>
          <w:sz w:val="24"/>
          <w:szCs w:val="24"/>
        </w:rPr>
      </w:pPr>
    </w:p>
    <w:p w14:paraId="6CCEEC94" w14:textId="5956EE50" w:rsidR="001938DC" w:rsidRDefault="001938DC" w:rsidP="005D1614">
      <w:pPr>
        <w:autoSpaceDE w:val="0"/>
        <w:autoSpaceDN w:val="0"/>
        <w:adjustRightInd w:val="0"/>
        <w:spacing w:after="0" w:line="240" w:lineRule="auto"/>
        <w:rPr>
          <w:rFonts w:cstheme="minorHAnsi"/>
          <w:sz w:val="24"/>
          <w:szCs w:val="24"/>
        </w:rPr>
      </w:pPr>
    </w:p>
    <w:p w14:paraId="77015956" w14:textId="09CD3620" w:rsidR="001938DC" w:rsidRDefault="001938DC" w:rsidP="005D1614">
      <w:pPr>
        <w:autoSpaceDE w:val="0"/>
        <w:autoSpaceDN w:val="0"/>
        <w:adjustRightInd w:val="0"/>
        <w:spacing w:after="0" w:line="240" w:lineRule="auto"/>
        <w:rPr>
          <w:rFonts w:cstheme="minorHAnsi"/>
          <w:sz w:val="24"/>
          <w:szCs w:val="24"/>
        </w:rPr>
      </w:pPr>
    </w:p>
    <w:p w14:paraId="20A22319" w14:textId="072935C6" w:rsidR="001938DC" w:rsidRDefault="001938DC" w:rsidP="005D1614">
      <w:pPr>
        <w:autoSpaceDE w:val="0"/>
        <w:autoSpaceDN w:val="0"/>
        <w:adjustRightInd w:val="0"/>
        <w:spacing w:after="0" w:line="240" w:lineRule="auto"/>
        <w:rPr>
          <w:rFonts w:cstheme="minorHAnsi"/>
          <w:sz w:val="24"/>
          <w:szCs w:val="24"/>
        </w:rPr>
      </w:pPr>
    </w:p>
    <w:p w14:paraId="5300AF8A" w14:textId="5C5B2D54" w:rsidR="001938DC" w:rsidRDefault="001938DC" w:rsidP="005D1614">
      <w:pPr>
        <w:autoSpaceDE w:val="0"/>
        <w:autoSpaceDN w:val="0"/>
        <w:adjustRightInd w:val="0"/>
        <w:spacing w:after="0" w:line="240" w:lineRule="auto"/>
        <w:rPr>
          <w:rFonts w:cstheme="minorHAnsi"/>
          <w:sz w:val="24"/>
          <w:szCs w:val="24"/>
        </w:rPr>
      </w:pPr>
    </w:p>
    <w:p w14:paraId="30E6D472" w14:textId="2270E698" w:rsidR="001938DC" w:rsidRDefault="001938DC" w:rsidP="005D1614">
      <w:pPr>
        <w:autoSpaceDE w:val="0"/>
        <w:autoSpaceDN w:val="0"/>
        <w:adjustRightInd w:val="0"/>
        <w:spacing w:after="0" w:line="240" w:lineRule="auto"/>
        <w:rPr>
          <w:rFonts w:cstheme="minorHAnsi"/>
          <w:sz w:val="24"/>
          <w:szCs w:val="24"/>
        </w:rPr>
      </w:pPr>
    </w:p>
    <w:p w14:paraId="604B0C24" w14:textId="3A1DA063" w:rsidR="001938DC" w:rsidRDefault="001938DC" w:rsidP="005D1614">
      <w:pPr>
        <w:autoSpaceDE w:val="0"/>
        <w:autoSpaceDN w:val="0"/>
        <w:adjustRightInd w:val="0"/>
        <w:spacing w:after="0" w:line="240" w:lineRule="auto"/>
        <w:rPr>
          <w:rFonts w:cstheme="minorHAnsi"/>
          <w:sz w:val="24"/>
          <w:szCs w:val="24"/>
        </w:rPr>
      </w:pPr>
    </w:p>
    <w:p w14:paraId="1D9ED19B" w14:textId="70DBE067" w:rsidR="001938DC" w:rsidRDefault="001938DC" w:rsidP="005D1614">
      <w:pPr>
        <w:autoSpaceDE w:val="0"/>
        <w:autoSpaceDN w:val="0"/>
        <w:adjustRightInd w:val="0"/>
        <w:spacing w:after="0" w:line="240" w:lineRule="auto"/>
        <w:rPr>
          <w:rFonts w:cstheme="minorHAnsi"/>
          <w:sz w:val="24"/>
          <w:szCs w:val="24"/>
        </w:rPr>
      </w:pPr>
    </w:p>
    <w:p w14:paraId="3E3CB8FE" w14:textId="3A91BF91" w:rsidR="001938DC" w:rsidRDefault="001938DC" w:rsidP="005D1614">
      <w:pPr>
        <w:autoSpaceDE w:val="0"/>
        <w:autoSpaceDN w:val="0"/>
        <w:adjustRightInd w:val="0"/>
        <w:spacing w:after="0" w:line="240" w:lineRule="auto"/>
        <w:rPr>
          <w:rFonts w:cstheme="minorHAnsi"/>
          <w:sz w:val="24"/>
          <w:szCs w:val="24"/>
        </w:rPr>
      </w:pPr>
    </w:p>
    <w:p w14:paraId="046EE89C" w14:textId="2DDE4E5D" w:rsidR="001938DC" w:rsidRDefault="001938DC" w:rsidP="005D1614">
      <w:pPr>
        <w:autoSpaceDE w:val="0"/>
        <w:autoSpaceDN w:val="0"/>
        <w:adjustRightInd w:val="0"/>
        <w:spacing w:after="0" w:line="240" w:lineRule="auto"/>
        <w:rPr>
          <w:rFonts w:cstheme="minorHAnsi"/>
          <w:sz w:val="24"/>
          <w:szCs w:val="24"/>
        </w:rPr>
      </w:pPr>
    </w:p>
    <w:p w14:paraId="47DFE019" w14:textId="77777777" w:rsidR="00742C94" w:rsidRDefault="00742C94" w:rsidP="001F2CF9">
      <w:pPr>
        <w:autoSpaceDE w:val="0"/>
        <w:autoSpaceDN w:val="0"/>
        <w:adjustRightInd w:val="0"/>
        <w:spacing w:after="0" w:line="240" w:lineRule="auto"/>
        <w:rPr>
          <w:rFonts w:ascii="Calibri" w:hAnsi="Calibri" w:cs="Calibri"/>
          <w:b/>
          <w:bCs/>
          <w:sz w:val="24"/>
          <w:szCs w:val="24"/>
        </w:rPr>
      </w:pPr>
    </w:p>
    <w:p w14:paraId="3BD79F76" w14:textId="77777777" w:rsidR="00742C94" w:rsidRDefault="00742C94" w:rsidP="001F2CF9">
      <w:pPr>
        <w:autoSpaceDE w:val="0"/>
        <w:autoSpaceDN w:val="0"/>
        <w:adjustRightInd w:val="0"/>
        <w:spacing w:after="0" w:line="240" w:lineRule="auto"/>
        <w:rPr>
          <w:rFonts w:ascii="Calibri" w:hAnsi="Calibri" w:cs="Calibri"/>
          <w:b/>
          <w:bCs/>
          <w:sz w:val="24"/>
          <w:szCs w:val="24"/>
        </w:rPr>
      </w:pPr>
    </w:p>
    <w:p w14:paraId="4AF0327F" w14:textId="77777777" w:rsidR="00742C94" w:rsidRDefault="00742C94" w:rsidP="001F2CF9">
      <w:pPr>
        <w:autoSpaceDE w:val="0"/>
        <w:autoSpaceDN w:val="0"/>
        <w:adjustRightInd w:val="0"/>
        <w:spacing w:after="0" w:line="240" w:lineRule="auto"/>
        <w:rPr>
          <w:rFonts w:ascii="Calibri" w:hAnsi="Calibri" w:cs="Calibri"/>
          <w:b/>
          <w:bCs/>
          <w:sz w:val="24"/>
          <w:szCs w:val="24"/>
        </w:rPr>
      </w:pPr>
    </w:p>
    <w:p w14:paraId="28FF1AE5" w14:textId="77777777" w:rsidR="00742C94" w:rsidRDefault="00742C94" w:rsidP="001F2CF9">
      <w:pPr>
        <w:autoSpaceDE w:val="0"/>
        <w:autoSpaceDN w:val="0"/>
        <w:adjustRightInd w:val="0"/>
        <w:spacing w:after="0" w:line="240" w:lineRule="auto"/>
        <w:rPr>
          <w:rFonts w:ascii="Calibri" w:hAnsi="Calibri" w:cs="Calibri"/>
          <w:b/>
          <w:bCs/>
          <w:sz w:val="24"/>
          <w:szCs w:val="24"/>
        </w:rPr>
      </w:pPr>
    </w:p>
    <w:p w14:paraId="62E5C911" w14:textId="77777777" w:rsidR="00742C94" w:rsidRDefault="00742C94" w:rsidP="001F2CF9">
      <w:pPr>
        <w:autoSpaceDE w:val="0"/>
        <w:autoSpaceDN w:val="0"/>
        <w:adjustRightInd w:val="0"/>
        <w:spacing w:after="0" w:line="240" w:lineRule="auto"/>
        <w:rPr>
          <w:rFonts w:ascii="Calibri" w:hAnsi="Calibri" w:cs="Calibri"/>
          <w:b/>
          <w:bCs/>
          <w:sz w:val="24"/>
          <w:szCs w:val="24"/>
        </w:rPr>
      </w:pPr>
    </w:p>
    <w:p w14:paraId="238C81E2" w14:textId="5DB77A90" w:rsidR="0050431D" w:rsidRPr="001034FF" w:rsidRDefault="0050431D" w:rsidP="001F2CF9">
      <w:pPr>
        <w:autoSpaceDE w:val="0"/>
        <w:autoSpaceDN w:val="0"/>
        <w:adjustRightInd w:val="0"/>
        <w:spacing w:after="0" w:line="240" w:lineRule="auto"/>
        <w:rPr>
          <w:rFonts w:ascii="Calibri" w:hAnsi="Calibri" w:cs="Calibri"/>
          <w:b/>
          <w:bCs/>
          <w:sz w:val="24"/>
          <w:szCs w:val="24"/>
        </w:rPr>
      </w:pPr>
      <w:r w:rsidRPr="001034FF">
        <w:rPr>
          <w:rFonts w:ascii="Calibri" w:hAnsi="Calibri" w:cs="Calibri"/>
          <w:b/>
          <w:bCs/>
          <w:sz w:val="24"/>
          <w:szCs w:val="24"/>
        </w:rPr>
        <w:lastRenderedPageBreak/>
        <w:t>SPREMEMBE ZAKONA O DAVKU NA DODANO VREDNOST – ZDDV-1K</w:t>
      </w:r>
    </w:p>
    <w:p w14:paraId="1E34BF51" w14:textId="77777777" w:rsidR="0050431D" w:rsidRDefault="0050431D" w:rsidP="001F2CF9">
      <w:pPr>
        <w:autoSpaceDE w:val="0"/>
        <w:autoSpaceDN w:val="0"/>
        <w:adjustRightInd w:val="0"/>
        <w:spacing w:after="0" w:line="240" w:lineRule="auto"/>
        <w:rPr>
          <w:rFonts w:ascii="Calibri" w:hAnsi="Calibri" w:cs="Calibri"/>
          <w:sz w:val="24"/>
          <w:szCs w:val="24"/>
        </w:rPr>
      </w:pPr>
    </w:p>
    <w:p w14:paraId="50069AD1" w14:textId="34F944A5" w:rsidR="0050431D" w:rsidRPr="0050431D" w:rsidRDefault="0050431D" w:rsidP="001F2CF9">
      <w:pPr>
        <w:autoSpaceDE w:val="0"/>
        <w:autoSpaceDN w:val="0"/>
        <w:adjustRightInd w:val="0"/>
        <w:spacing w:after="0" w:line="240" w:lineRule="auto"/>
        <w:rPr>
          <w:rFonts w:ascii="Calibri" w:hAnsi="Calibri" w:cs="Calibri"/>
          <w:color w:val="262626" w:themeColor="text1" w:themeTint="D9"/>
          <w:sz w:val="24"/>
          <w:szCs w:val="24"/>
        </w:rPr>
      </w:pPr>
      <w:r w:rsidRPr="0050431D">
        <w:rPr>
          <w:rFonts w:ascii="Calibri" w:hAnsi="Calibri" w:cs="Calibri"/>
          <w:color w:val="262626" w:themeColor="text1" w:themeTint="D9"/>
          <w:sz w:val="24"/>
          <w:szCs w:val="24"/>
        </w:rPr>
        <w:t>V Uradnem listu RS, št.  59/19, z dne 4. 10. 2019 objavljen Zakon o spremembah in dopolnitvah zakona o davku na dodano vrednost ZDDV-1 (ZDDV-1K).</w:t>
      </w:r>
    </w:p>
    <w:p w14:paraId="2525069B" w14:textId="77777777" w:rsidR="0050431D" w:rsidRPr="0050431D" w:rsidRDefault="0050431D" w:rsidP="001F2CF9">
      <w:pPr>
        <w:autoSpaceDE w:val="0"/>
        <w:autoSpaceDN w:val="0"/>
        <w:adjustRightInd w:val="0"/>
        <w:spacing w:after="0" w:line="240" w:lineRule="auto"/>
        <w:rPr>
          <w:rFonts w:ascii="Calibri" w:hAnsi="Calibri" w:cs="Calibri"/>
          <w:color w:val="262626" w:themeColor="text1" w:themeTint="D9"/>
          <w:sz w:val="24"/>
          <w:szCs w:val="24"/>
        </w:rPr>
      </w:pPr>
    </w:p>
    <w:p w14:paraId="6AE94036" w14:textId="77777777" w:rsidR="0050431D" w:rsidRDefault="0050431D" w:rsidP="001F2CF9">
      <w:pPr>
        <w:autoSpaceDE w:val="0"/>
        <w:autoSpaceDN w:val="0"/>
        <w:adjustRightInd w:val="0"/>
        <w:spacing w:after="0" w:line="240" w:lineRule="auto"/>
        <w:rPr>
          <w:rFonts w:ascii="Calibri" w:hAnsi="Calibri" w:cs="Calibri"/>
          <w:sz w:val="24"/>
          <w:szCs w:val="24"/>
        </w:rPr>
      </w:pPr>
    </w:p>
    <w:p w14:paraId="3D5193F5" w14:textId="2C981C98" w:rsidR="001F2CF9" w:rsidRPr="0050431D" w:rsidRDefault="001F2CF9" w:rsidP="001F2CF9">
      <w:pPr>
        <w:autoSpaceDE w:val="0"/>
        <w:autoSpaceDN w:val="0"/>
        <w:adjustRightInd w:val="0"/>
        <w:spacing w:after="0" w:line="240" w:lineRule="auto"/>
        <w:rPr>
          <w:rFonts w:ascii="Calibri" w:hAnsi="Calibri" w:cs="Calibri"/>
          <w:sz w:val="24"/>
          <w:szCs w:val="24"/>
        </w:rPr>
      </w:pPr>
      <w:r w:rsidRPr="0050431D">
        <w:rPr>
          <w:rFonts w:ascii="Calibri" w:hAnsi="Calibri" w:cs="Calibri"/>
          <w:sz w:val="24"/>
          <w:szCs w:val="24"/>
        </w:rPr>
        <w:t>Spremembe določil ZDDV-1 od 01.01.2020 naprej (»delno« od 19.10.2019 naprej –</w:t>
      </w:r>
      <w:r w:rsidR="0020115F">
        <w:rPr>
          <w:rFonts w:ascii="Calibri" w:hAnsi="Calibri" w:cs="Calibri"/>
          <w:sz w:val="24"/>
          <w:szCs w:val="24"/>
        </w:rPr>
        <w:t xml:space="preserve"> </w:t>
      </w:r>
      <w:r w:rsidRPr="0050431D">
        <w:rPr>
          <w:rFonts w:ascii="Calibri" w:hAnsi="Calibri" w:cs="Calibri"/>
          <w:sz w:val="24"/>
          <w:szCs w:val="24"/>
        </w:rPr>
        <w:t>spremembe 68., 74. in 74.i člena ZDDV-1) so primarno rezultat sprememb Direktive</w:t>
      </w:r>
    </w:p>
    <w:p w14:paraId="5E371566" w14:textId="0A9CDA43" w:rsidR="001938DC" w:rsidRDefault="001F2CF9" w:rsidP="001F2CF9">
      <w:pPr>
        <w:autoSpaceDE w:val="0"/>
        <w:autoSpaceDN w:val="0"/>
        <w:adjustRightInd w:val="0"/>
        <w:spacing w:after="0" w:line="240" w:lineRule="auto"/>
        <w:rPr>
          <w:rFonts w:ascii="Calibri" w:hAnsi="Calibri" w:cs="Calibri"/>
          <w:sz w:val="24"/>
          <w:szCs w:val="24"/>
        </w:rPr>
      </w:pPr>
      <w:r w:rsidRPr="0050431D">
        <w:rPr>
          <w:rFonts w:ascii="Calibri" w:hAnsi="Calibri" w:cs="Calibri"/>
          <w:sz w:val="24"/>
          <w:szCs w:val="24"/>
        </w:rPr>
        <w:t>Sveta 2006/112/ES, preostale spremembe pa so rezultat predvsem sprememb</w:t>
      </w:r>
      <w:r w:rsidR="0020115F">
        <w:rPr>
          <w:rFonts w:ascii="Calibri" w:hAnsi="Calibri" w:cs="Calibri"/>
          <w:sz w:val="24"/>
          <w:szCs w:val="24"/>
        </w:rPr>
        <w:t xml:space="preserve"> </w:t>
      </w:r>
      <w:r w:rsidRPr="0050431D">
        <w:rPr>
          <w:rFonts w:ascii="Calibri" w:hAnsi="Calibri" w:cs="Calibri"/>
          <w:sz w:val="24"/>
          <w:szCs w:val="24"/>
        </w:rPr>
        <w:t>kaznovalne politike na področju DDV oziroma kazenskih določb – seveda v smeri</w:t>
      </w:r>
      <w:r w:rsidR="0020115F">
        <w:rPr>
          <w:rFonts w:ascii="Calibri" w:hAnsi="Calibri" w:cs="Calibri"/>
          <w:sz w:val="24"/>
          <w:szCs w:val="24"/>
        </w:rPr>
        <w:t xml:space="preserve"> </w:t>
      </w:r>
      <w:r w:rsidRPr="0050431D">
        <w:rPr>
          <w:rFonts w:ascii="Calibri" w:hAnsi="Calibri" w:cs="Calibri"/>
          <w:sz w:val="24"/>
          <w:szCs w:val="24"/>
        </w:rPr>
        <w:t>strožje kaznovalne politike.</w:t>
      </w:r>
    </w:p>
    <w:p w14:paraId="05A5E40C" w14:textId="3EF8F78F" w:rsidR="0050431D" w:rsidRDefault="0050431D" w:rsidP="001F2CF9">
      <w:pPr>
        <w:autoSpaceDE w:val="0"/>
        <w:autoSpaceDN w:val="0"/>
        <w:adjustRightInd w:val="0"/>
        <w:spacing w:after="0" w:line="240" w:lineRule="auto"/>
        <w:rPr>
          <w:rFonts w:ascii="Calibri" w:hAnsi="Calibri" w:cs="Calibri"/>
          <w:sz w:val="24"/>
          <w:szCs w:val="24"/>
        </w:rPr>
      </w:pPr>
    </w:p>
    <w:p w14:paraId="703DF30D" w14:textId="3B74245E" w:rsidR="0050431D" w:rsidRDefault="0050431D" w:rsidP="001F2CF9">
      <w:pPr>
        <w:autoSpaceDE w:val="0"/>
        <w:autoSpaceDN w:val="0"/>
        <w:adjustRightInd w:val="0"/>
        <w:spacing w:after="0" w:line="240" w:lineRule="auto"/>
        <w:rPr>
          <w:rFonts w:ascii="Calibri" w:hAnsi="Calibri" w:cs="Calibri"/>
          <w:b/>
          <w:bCs/>
          <w:sz w:val="24"/>
          <w:szCs w:val="24"/>
        </w:rPr>
      </w:pPr>
      <w:r w:rsidRPr="0050431D">
        <w:rPr>
          <w:rFonts w:ascii="Calibri" w:hAnsi="Calibri" w:cs="Calibri"/>
          <w:b/>
          <w:bCs/>
          <w:sz w:val="24"/>
          <w:szCs w:val="24"/>
        </w:rPr>
        <w:t>1. Posebna ureditev skladiščenja na odpoklic</w:t>
      </w:r>
      <w:r>
        <w:rPr>
          <w:rFonts w:ascii="Calibri" w:hAnsi="Calibri" w:cs="Calibri"/>
          <w:b/>
          <w:bCs/>
          <w:sz w:val="24"/>
          <w:szCs w:val="24"/>
        </w:rPr>
        <w:t xml:space="preserve"> </w:t>
      </w:r>
      <w:r w:rsidRPr="0050431D">
        <w:rPr>
          <w:rFonts w:ascii="Calibri" w:hAnsi="Calibri" w:cs="Calibri"/>
          <w:b/>
          <w:bCs/>
          <w:sz w:val="24"/>
          <w:szCs w:val="24"/>
        </w:rPr>
        <w:t>(9.</w:t>
      </w:r>
      <w:r>
        <w:rPr>
          <w:rFonts w:ascii="Calibri" w:hAnsi="Calibri" w:cs="Calibri"/>
          <w:b/>
          <w:bCs/>
          <w:sz w:val="24"/>
          <w:szCs w:val="24"/>
        </w:rPr>
        <w:t xml:space="preserve"> </w:t>
      </w:r>
      <w:r w:rsidRPr="0050431D">
        <w:rPr>
          <w:rFonts w:ascii="Calibri" w:hAnsi="Calibri" w:cs="Calibri"/>
          <w:b/>
          <w:bCs/>
          <w:sz w:val="24"/>
          <w:szCs w:val="24"/>
        </w:rPr>
        <w:t>člen ZDDV-1)</w:t>
      </w:r>
    </w:p>
    <w:p w14:paraId="5B5F6F91" w14:textId="1CAF7E6B" w:rsidR="0050431D" w:rsidRPr="0050431D" w:rsidRDefault="0050431D" w:rsidP="0050431D">
      <w:pPr>
        <w:autoSpaceDE w:val="0"/>
        <w:autoSpaceDN w:val="0"/>
        <w:adjustRightInd w:val="0"/>
        <w:spacing w:after="0" w:line="240" w:lineRule="auto"/>
        <w:rPr>
          <w:rFonts w:ascii="Calibri" w:hAnsi="Calibri" w:cs="Calibri"/>
          <w:color w:val="262626" w:themeColor="text1" w:themeTint="D9"/>
          <w:sz w:val="24"/>
          <w:szCs w:val="24"/>
        </w:rPr>
      </w:pPr>
      <w:r w:rsidRPr="0050431D">
        <w:rPr>
          <w:rFonts w:ascii="Calibri" w:hAnsi="Calibri" w:cs="Calibri"/>
          <w:color w:val="262626" w:themeColor="text1" w:themeTint="D9"/>
          <w:sz w:val="24"/>
          <w:szCs w:val="24"/>
        </w:rPr>
        <w:t>Nov 9.a člen ZDDV-1 opredeljuje v povezavi s čezmejnimi transakcijami (znotraj</w:t>
      </w:r>
      <w:r w:rsidR="0020115F">
        <w:rPr>
          <w:rFonts w:ascii="Calibri" w:hAnsi="Calibri" w:cs="Calibri"/>
          <w:color w:val="262626" w:themeColor="text1" w:themeTint="D9"/>
          <w:sz w:val="24"/>
          <w:szCs w:val="24"/>
        </w:rPr>
        <w:t xml:space="preserve"> </w:t>
      </w:r>
      <w:r w:rsidRPr="0050431D">
        <w:rPr>
          <w:rFonts w:ascii="Calibri" w:hAnsi="Calibri" w:cs="Calibri"/>
          <w:color w:val="262626" w:themeColor="text1" w:themeTint="D9"/>
          <w:sz w:val="24"/>
          <w:szCs w:val="24"/>
        </w:rPr>
        <w:t>Unije) ureditev področja skladiščenja na odpoklic. Države članice navedeno področje</w:t>
      </w:r>
    </w:p>
    <w:p w14:paraId="1F2A265D" w14:textId="4FAFC899" w:rsidR="0050431D" w:rsidRPr="0050431D" w:rsidRDefault="0050431D" w:rsidP="0050431D">
      <w:pPr>
        <w:autoSpaceDE w:val="0"/>
        <w:autoSpaceDN w:val="0"/>
        <w:adjustRightInd w:val="0"/>
        <w:spacing w:after="0" w:line="240" w:lineRule="auto"/>
        <w:rPr>
          <w:rFonts w:ascii="Calibri" w:hAnsi="Calibri" w:cs="Calibri"/>
          <w:color w:val="262626" w:themeColor="text1" w:themeTint="D9"/>
          <w:sz w:val="24"/>
          <w:szCs w:val="24"/>
        </w:rPr>
      </w:pPr>
      <w:r w:rsidRPr="0050431D">
        <w:rPr>
          <w:rFonts w:ascii="Calibri" w:hAnsi="Calibri" w:cs="Calibri"/>
          <w:color w:val="262626" w:themeColor="text1" w:themeTint="D9"/>
          <w:sz w:val="24"/>
          <w:szCs w:val="24"/>
        </w:rPr>
        <w:t>do 01.01.2020 rešujejo neenotno za primere, ko se blago prenese iz ene države članice</w:t>
      </w:r>
      <w:r w:rsidR="0020115F">
        <w:rPr>
          <w:rFonts w:ascii="Calibri" w:hAnsi="Calibri" w:cs="Calibri"/>
          <w:color w:val="262626" w:themeColor="text1" w:themeTint="D9"/>
          <w:sz w:val="24"/>
          <w:szCs w:val="24"/>
        </w:rPr>
        <w:t xml:space="preserve"> </w:t>
      </w:r>
      <w:r w:rsidRPr="0050431D">
        <w:rPr>
          <w:rFonts w:ascii="Calibri" w:hAnsi="Calibri" w:cs="Calibri"/>
          <w:color w:val="262626" w:themeColor="text1" w:themeTint="D9"/>
          <w:sz w:val="24"/>
          <w:szCs w:val="24"/>
        </w:rPr>
        <w:t>v skladišče kupca – kasnejšega prejemnika tega blago v drugo državo članico.</w:t>
      </w:r>
    </w:p>
    <w:p w14:paraId="5D0130A0" w14:textId="590154FF" w:rsidR="0050431D" w:rsidRPr="0050431D" w:rsidRDefault="0050431D" w:rsidP="0050431D">
      <w:pPr>
        <w:autoSpaceDE w:val="0"/>
        <w:autoSpaceDN w:val="0"/>
        <w:adjustRightInd w:val="0"/>
        <w:spacing w:after="0" w:line="240" w:lineRule="auto"/>
        <w:rPr>
          <w:rFonts w:ascii="Calibri" w:hAnsi="Calibri" w:cs="Calibri"/>
          <w:color w:val="262626" w:themeColor="text1" w:themeTint="D9"/>
          <w:sz w:val="24"/>
          <w:szCs w:val="24"/>
        </w:rPr>
      </w:pPr>
      <w:r w:rsidRPr="0050431D">
        <w:rPr>
          <w:rFonts w:ascii="Calibri" w:hAnsi="Calibri" w:cs="Calibri"/>
          <w:color w:val="262626" w:themeColor="text1" w:themeTint="D9"/>
          <w:sz w:val="24"/>
          <w:szCs w:val="24"/>
        </w:rPr>
        <w:t>Slovenija ima tovrstno ureditev do 31.12.2019 opredeljeno v 21. členu PZDDV</w:t>
      </w:r>
      <w:r w:rsidR="0020115F">
        <w:rPr>
          <w:rFonts w:ascii="Calibri" w:hAnsi="Calibri" w:cs="Calibri"/>
          <w:color w:val="262626" w:themeColor="text1" w:themeTint="D9"/>
          <w:sz w:val="24"/>
          <w:szCs w:val="24"/>
        </w:rPr>
        <w:t xml:space="preserve"> </w:t>
      </w:r>
      <w:r w:rsidRPr="0050431D">
        <w:rPr>
          <w:rFonts w:ascii="Calibri" w:hAnsi="Calibri" w:cs="Calibri"/>
          <w:color w:val="262626" w:themeColor="text1" w:themeTint="D9"/>
          <w:sz w:val="24"/>
          <w:szCs w:val="24"/>
        </w:rPr>
        <w:t>(prenos blaga v drugo državo članico in pridobitev blaga iz druge države članice z</w:t>
      </w:r>
    </w:p>
    <w:p w14:paraId="26236251" w14:textId="5579E2A1" w:rsidR="0050431D" w:rsidRPr="0050431D" w:rsidRDefault="0050431D" w:rsidP="0050431D">
      <w:pPr>
        <w:autoSpaceDE w:val="0"/>
        <w:autoSpaceDN w:val="0"/>
        <w:adjustRightInd w:val="0"/>
        <w:spacing w:after="0" w:line="240" w:lineRule="auto"/>
        <w:rPr>
          <w:rFonts w:ascii="Calibri" w:hAnsi="Calibri" w:cs="Calibri"/>
          <w:color w:val="262626" w:themeColor="text1" w:themeTint="D9"/>
          <w:sz w:val="24"/>
          <w:szCs w:val="24"/>
        </w:rPr>
      </w:pPr>
      <w:r w:rsidRPr="0050431D">
        <w:rPr>
          <w:rFonts w:ascii="Calibri" w:hAnsi="Calibri" w:cs="Calibri"/>
          <w:color w:val="262626" w:themeColor="text1" w:themeTint="D9"/>
          <w:sz w:val="24"/>
          <w:szCs w:val="24"/>
        </w:rPr>
        <w:t>namenom vzpostavitve zaloge blaga pri kupcu), vendar se lahko navedena določba</w:t>
      </w:r>
      <w:r w:rsidR="0020115F">
        <w:rPr>
          <w:rFonts w:ascii="Calibri" w:hAnsi="Calibri" w:cs="Calibri"/>
          <w:color w:val="262626" w:themeColor="text1" w:themeTint="D9"/>
          <w:sz w:val="24"/>
          <w:szCs w:val="24"/>
        </w:rPr>
        <w:t xml:space="preserve">  </w:t>
      </w:r>
      <w:r w:rsidRPr="0050431D">
        <w:rPr>
          <w:rFonts w:ascii="Calibri" w:hAnsi="Calibri" w:cs="Calibri"/>
          <w:color w:val="262626" w:themeColor="text1" w:themeTint="D9"/>
          <w:sz w:val="24"/>
          <w:szCs w:val="24"/>
        </w:rPr>
        <w:t>o navedenega datuma »korektno« izvaja le v primeru, če ima država članica</w:t>
      </w:r>
    </w:p>
    <w:p w14:paraId="559BF73D" w14:textId="2A5BF5C2" w:rsidR="0050431D" w:rsidRPr="0050431D" w:rsidRDefault="0050431D" w:rsidP="0050431D">
      <w:pPr>
        <w:autoSpaceDE w:val="0"/>
        <w:autoSpaceDN w:val="0"/>
        <w:adjustRightInd w:val="0"/>
        <w:spacing w:after="0" w:line="240" w:lineRule="auto"/>
        <w:rPr>
          <w:rFonts w:ascii="Calibri" w:hAnsi="Calibri" w:cs="Calibri"/>
          <w:color w:val="262626" w:themeColor="text1" w:themeTint="D9"/>
          <w:sz w:val="24"/>
          <w:szCs w:val="24"/>
        </w:rPr>
      </w:pPr>
      <w:r w:rsidRPr="0050431D">
        <w:rPr>
          <w:rFonts w:ascii="Calibri" w:hAnsi="Calibri" w:cs="Calibri"/>
          <w:color w:val="262626" w:themeColor="text1" w:themeTint="D9"/>
          <w:sz w:val="24"/>
          <w:szCs w:val="24"/>
        </w:rPr>
        <w:t>nasprotnega poslovnega partnerja prav tako urejeno tovrstno poenostavitev.</w:t>
      </w:r>
      <w:r w:rsidR="0020115F">
        <w:rPr>
          <w:rFonts w:ascii="Calibri" w:hAnsi="Calibri" w:cs="Calibri"/>
          <w:color w:val="262626" w:themeColor="text1" w:themeTint="D9"/>
          <w:sz w:val="24"/>
          <w:szCs w:val="24"/>
        </w:rPr>
        <w:t xml:space="preserve"> </w:t>
      </w:r>
      <w:r w:rsidRPr="0050431D">
        <w:rPr>
          <w:rFonts w:ascii="Calibri" w:hAnsi="Calibri" w:cs="Calibri"/>
          <w:color w:val="262626" w:themeColor="text1" w:themeTint="D9"/>
          <w:sz w:val="24"/>
          <w:szCs w:val="24"/>
        </w:rPr>
        <w:t>9.a člen ZDDV-1 v bistvu opredeljuje izjemo, da se dobava blaga iz ene države</w:t>
      </w:r>
    </w:p>
    <w:p w14:paraId="5E45A760" w14:textId="2314123D" w:rsidR="0050431D" w:rsidRPr="0050431D" w:rsidRDefault="0050431D" w:rsidP="0050431D">
      <w:pPr>
        <w:autoSpaceDE w:val="0"/>
        <w:autoSpaceDN w:val="0"/>
        <w:adjustRightInd w:val="0"/>
        <w:spacing w:after="0" w:line="240" w:lineRule="auto"/>
        <w:rPr>
          <w:rFonts w:ascii="Calibri" w:hAnsi="Calibri" w:cs="Calibri"/>
          <w:color w:val="262626" w:themeColor="text1" w:themeTint="D9"/>
          <w:sz w:val="24"/>
          <w:szCs w:val="24"/>
        </w:rPr>
      </w:pPr>
      <w:r w:rsidRPr="0050431D">
        <w:rPr>
          <w:rFonts w:ascii="Calibri" w:hAnsi="Calibri" w:cs="Calibri"/>
          <w:color w:val="262626" w:themeColor="text1" w:themeTint="D9"/>
          <w:sz w:val="24"/>
          <w:szCs w:val="24"/>
        </w:rPr>
        <w:t>članice v skladišče (»bodočega«) kupca druge države članice ne šteje kot dobava</w:t>
      </w:r>
      <w:r w:rsidR="0020115F">
        <w:rPr>
          <w:rFonts w:ascii="Calibri" w:hAnsi="Calibri" w:cs="Calibri"/>
          <w:color w:val="262626" w:themeColor="text1" w:themeTint="D9"/>
          <w:sz w:val="24"/>
          <w:szCs w:val="24"/>
        </w:rPr>
        <w:t xml:space="preserve"> </w:t>
      </w:r>
      <w:r w:rsidRPr="0050431D">
        <w:rPr>
          <w:rFonts w:ascii="Calibri" w:hAnsi="Calibri" w:cs="Calibri"/>
          <w:color w:val="262626" w:themeColor="text1" w:themeTint="D9"/>
          <w:sz w:val="24"/>
          <w:szCs w:val="24"/>
        </w:rPr>
        <w:t>blaga opravljena za plačilo (kot to določa 9. člen ZDDV-1), pri čemer se šteje, da</w:t>
      </w:r>
    </w:p>
    <w:p w14:paraId="08E4A9AC" w14:textId="7C7D1FB1" w:rsidR="0050431D" w:rsidRPr="0050431D" w:rsidRDefault="0050431D" w:rsidP="0050431D">
      <w:pPr>
        <w:autoSpaceDE w:val="0"/>
        <w:autoSpaceDN w:val="0"/>
        <w:adjustRightInd w:val="0"/>
        <w:spacing w:after="0" w:line="240" w:lineRule="auto"/>
        <w:rPr>
          <w:rFonts w:ascii="Calibri" w:hAnsi="Calibri" w:cs="Calibri"/>
          <w:color w:val="262626" w:themeColor="text1" w:themeTint="D9"/>
          <w:sz w:val="24"/>
          <w:szCs w:val="24"/>
        </w:rPr>
      </w:pPr>
      <w:r w:rsidRPr="0050431D">
        <w:rPr>
          <w:rFonts w:ascii="Calibri" w:hAnsi="Calibri" w:cs="Calibri"/>
          <w:color w:val="262626" w:themeColor="text1" w:themeTint="D9"/>
          <w:sz w:val="24"/>
          <w:szCs w:val="24"/>
        </w:rPr>
        <w:t>nastane dobava blaga šele takrat, ko kupec ravna z navedenim blagom kot lastnik.</w:t>
      </w:r>
      <w:r w:rsidR="0020115F">
        <w:rPr>
          <w:rFonts w:ascii="Calibri" w:hAnsi="Calibri" w:cs="Calibri"/>
          <w:color w:val="262626" w:themeColor="text1" w:themeTint="D9"/>
          <w:sz w:val="24"/>
          <w:szCs w:val="24"/>
        </w:rPr>
        <w:t xml:space="preserve"> </w:t>
      </w:r>
      <w:r w:rsidRPr="0050431D">
        <w:rPr>
          <w:rFonts w:ascii="Calibri" w:hAnsi="Calibri" w:cs="Calibri"/>
          <w:color w:val="262626" w:themeColor="text1" w:themeTint="D9"/>
          <w:sz w:val="24"/>
          <w:szCs w:val="24"/>
        </w:rPr>
        <w:t>Ko kupec, pri katerem se skladišči blago, ravna z blagom kot lastnik, se šteje, da je pri</w:t>
      </w:r>
    </w:p>
    <w:p w14:paraId="13D6795E" w14:textId="1307C811" w:rsidR="0050431D" w:rsidRPr="0050431D" w:rsidRDefault="0050431D" w:rsidP="0050431D">
      <w:pPr>
        <w:autoSpaceDE w:val="0"/>
        <w:autoSpaceDN w:val="0"/>
        <w:adjustRightInd w:val="0"/>
        <w:spacing w:after="0" w:line="240" w:lineRule="auto"/>
        <w:rPr>
          <w:rFonts w:ascii="Calibri" w:hAnsi="Calibri" w:cs="Calibri"/>
          <w:color w:val="262626" w:themeColor="text1" w:themeTint="D9"/>
          <w:sz w:val="24"/>
          <w:szCs w:val="24"/>
        </w:rPr>
      </w:pPr>
      <w:r w:rsidRPr="0050431D">
        <w:rPr>
          <w:rFonts w:ascii="Calibri" w:hAnsi="Calibri" w:cs="Calibri"/>
          <w:color w:val="262626" w:themeColor="text1" w:themeTint="D9"/>
          <w:sz w:val="24"/>
          <w:szCs w:val="24"/>
        </w:rPr>
        <w:t>dobavitelju nastala dobava blaga znotraj Unije, oproščena plačila DDV (primerjalno</w:t>
      </w:r>
      <w:r w:rsidR="0020115F">
        <w:rPr>
          <w:rFonts w:ascii="Calibri" w:hAnsi="Calibri" w:cs="Calibri"/>
          <w:color w:val="262626" w:themeColor="text1" w:themeTint="D9"/>
          <w:sz w:val="24"/>
          <w:szCs w:val="24"/>
        </w:rPr>
        <w:t xml:space="preserve"> </w:t>
      </w:r>
      <w:r w:rsidRPr="0050431D">
        <w:rPr>
          <w:rFonts w:ascii="Calibri" w:hAnsi="Calibri" w:cs="Calibri"/>
          <w:color w:val="262626" w:themeColor="text1" w:themeTint="D9"/>
          <w:sz w:val="24"/>
          <w:szCs w:val="24"/>
        </w:rPr>
        <w:t>glej 46. člen ZDDV-1), pri kupcu pa pridobitev blaga (primerjalno glej 11. člen</w:t>
      </w:r>
    </w:p>
    <w:p w14:paraId="71A3EB42" w14:textId="25FABEA0" w:rsidR="0050431D" w:rsidRPr="0050431D" w:rsidRDefault="0050431D" w:rsidP="0050431D">
      <w:pPr>
        <w:autoSpaceDE w:val="0"/>
        <w:autoSpaceDN w:val="0"/>
        <w:adjustRightInd w:val="0"/>
        <w:spacing w:after="0" w:line="240" w:lineRule="auto"/>
        <w:rPr>
          <w:rFonts w:ascii="Calibri" w:hAnsi="Calibri" w:cs="Calibri"/>
          <w:b/>
          <w:bCs/>
          <w:color w:val="262626" w:themeColor="text1" w:themeTint="D9"/>
          <w:sz w:val="24"/>
          <w:szCs w:val="24"/>
        </w:rPr>
      </w:pPr>
      <w:r w:rsidRPr="0050431D">
        <w:rPr>
          <w:rFonts w:ascii="Calibri" w:hAnsi="Calibri" w:cs="Calibri"/>
          <w:color w:val="262626" w:themeColor="text1" w:themeTint="D9"/>
          <w:sz w:val="24"/>
          <w:szCs w:val="24"/>
        </w:rPr>
        <w:t>ZDDV-1).</w:t>
      </w:r>
    </w:p>
    <w:p w14:paraId="2551A5DF" w14:textId="6C88D350" w:rsidR="00DF28BB" w:rsidRDefault="00DF28BB" w:rsidP="001F2CF9">
      <w:pPr>
        <w:autoSpaceDE w:val="0"/>
        <w:autoSpaceDN w:val="0"/>
        <w:adjustRightInd w:val="0"/>
        <w:spacing w:after="0" w:line="240" w:lineRule="auto"/>
        <w:rPr>
          <w:rFonts w:ascii="PalatinoLinotype,Bold" w:hAnsi="PalatinoLinotype,Bold" w:cs="PalatinoLinotype,Bold"/>
          <w:b/>
          <w:bCs/>
          <w:sz w:val="28"/>
          <w:szCs w:val="28"/>
        </w:rPr>
      </w:pPr>
    </w:p>
    <w:p w14:paraId="581F889D" w14:textId="61397232" w:rsidR="00DF28BB" w:rsidRPr="00DF28BB" w:rsidRDefault="00DF28BB" w:rsidP="001F2CF9">
      <w:pPr>
        <w:autoSpaceDE w:val="0"/>
        <w:autoSpaceDN w:val="0"/>
        <w:adjustRightInd w:val="0"/>
        <w:spacing w:after="0" w:line="240" w:lineRule="auto"/>
        <w:rPr>
          <w:rFonts w:ascii="Calibri" w:hAnsi="Calibri" w:cs="Calibri"/>
          <w:b/>
          <w:bCs/>
          <w:sz w:val="24"/>
          <w:szCs w:val="24"/>
        </w:rPr>
      </w:pPr>
      <w:r w:rsidRPr="00DF28BB">
        <w:rPr>
          <w:rFonts w:ascii="Calibri" w:hAnsi="Calibri" w:cs="Calibri"/>
          <w:b/>
          <w:bCs/>
          <w:sz w:val="24"/>
          <w:szCs w:val="24"/>
        </w:rPr>
        <w:t xml:space="preserve">2. Posebna nižja stopnja DDV 5% </w:t>
      </w:r>
    </w:p>
    <w:p w14:paraId="181915DB" w14:textId="1DA5610C" w:rsidR="0050431D" w:rsidRDefault="0050431D" w:rsidP="001F2CF9">
      <w:pPr>
        <w:autoSpaceDE w:val="0"/>
        <w:autoSpaceDN w:val="0"/>
        <w:adjustRightInd w:val="0"/>
        <w:spacing w:after="0" w:line="240" w:lineRule="auto"/>
        <w:rPr>
          <w:rFonts w:ascii="Calibri" w:hAnsi="Calibri" w:cs="Calibri"/>
          <w:sz w:val="24"/>
          <w:szCs w:val="24"/>
        </w:rPr>
      </w:pPr>
      <w:r>
        <w:rPr>
          <w:rFonts w:ascii="PalatinoLinotype,Bold" w:hAnsi="PalatinoLinotype,Bold" w:cs="PalatinoLinotype,Bold"/>
          <w:b/>
          <w:bCs/>
          <w:sz w:val="28"/>
          <w:szCs w:val="28"/>
        </w:rPr>
        <w:t xml:space="preserve"> </w:t>
      </w:r>
    </w:p>
    <w:p w14:paraId="2014E126" w14:textId="77777777" w:rsidR="0050431D" w:rsidRPr="00DF28BB" w:rsidRDefault="0050431D" w:rsidP="0050431D">
      <w:pPr>
        <w:pStyle w:val="Navadensplet"/>
        <w:shd w:val="clear" w:color="auto" w:fill="FFFFFF"/>
        <w:spacing w:before="0" w:beforeAutospacing="0" w:after="0" w:afterAutospacing="0"/>
        <w:jc w:val="both"/>
        <w:rPr>
          <w:rFonts w:ascii="Calibri" w:hAnsi="Calibri" w:cs="Calibri"/>
          <w:color w:val="000000"/>
        </w:rPr>
      </w:pPr>
      <w:r w:rsidRPr="00DF28BB">
        <w:rPr>
          <w:rFonts w:ascii="Calibri" w:hAnsi="Calibri" w:cs="Calibri"/>
          <w:color w:val="000000"/>
        </w:rPr>
        <w:t>V skladu z novelo zakona ZDDV-L, objavljeno v Uradnem listu RS št. 72/19, se s 1. 1. 2020 uvaja posebna nižja stopnja DDV v višini 5 %, in sicer za dobavo, vključno s knjižnično izposojo, knjig, časopisov in periodičnih publikacij na fizičnih nosilcih ali dobavljenih elektronsko ali oboje (vključno z brošurami, letaki in podobnim gradivom, otroškimi slikanicami, knjigami za risanje ali pobarvankami, glasbenimi deli, tiskanimi ali v rokopisu, zemljevidi in hidrografskimi ali podobnimi kartami), razen gradiv, ki so v celoti ali v pretežnem delu namenjena oglaševanju oziroma ki jih v celoti ali v pretežnem delu tvorijo video vsebine ali avdio glasbene vsebine.</w:t>
      </w:r>
    </w:p>
    <w:p w14:paraId="5C0E43D9" w14:textId="73DED87B" w:rsidR="0050431D" w:rsidRDefault="0050431D" w:rsidP="0050431D">
      <w:pPr>
        <w:pStyle w:val="Navadensplet"/>
        <w:shd w:val="clear" w:color="auto" w:fill="FFFFFF"/>
        <w:spacing w:before="0" w:beforeAutospacing="0" w:after="0" w:afterAutospacing="0"/>
        <w:jc w:val="both"/>
        <w:rPr>
          <w:rFonts w:ascii="Arial" w:hAnsi="Arial" w:cs="Arial"/>
          <w:color w:val="000000"/>
          <w:sz w:val="20"/>
          <w:szCs w:val="20"/>
        </w:rPr>
      </w:pPr>
    </w:p>
    <w:p w14:paraId="2A4DBBE4" w14:textId="77777777" w:rsidR="0050431D" w:rsidRPr="00DF28BB" w:rsidRDefault="0050431D" w:rsidP="0050431D">
      <w:pPr>
        <w:pStyle w:val="Navadensplet"/>
        <w:shd w:val="clear" w:color="auto" w:fill="FFFFFF"/>
        <w:spacing w:before="0" w:beforeAutospacing="0" w:after="0" w:afterAutospacing="0"/>
        <w:jc w:val="both"/>
        <w:rPr>
          <w:rFonts w:ascii="Calibri" w:hAnsi="Calibri" w:cs="Calibri"/>
          <w:color w:val="000000"/>
        </w:rPr>
      </w:pPr>
      <w:r w:rsidRPr="00DF28BB">
        <w:rPr>
          <w:rFonts w:ascii="Calibri" w:hAnsi="Calibri" w:cs="Calibri"/>
          <w:color w:val="000000"/>
        </w:rPr>
        <w:t>Posebna nižja stopnja DDV v višini 5 % za zgoraj navedene dobave se uporablja že za dobave, opravljene od vključno 1. 1. 2020 dalje.</w:t>
      </w:r>
    </w:p>
    <w:p w14:paraId="142081D9" w14:textId="4338B402" w:rsidR="0050431D" w:rsidRPr="00DF28BB" w:rsidRDefault="0050431D" w:rsidP="0050431D">
      <w:pPr>
        <w:pStyle w:val="Navadensplet"/>
        <w:shd w:val="clear" w:color="auto" w:fill="FFFFFF"/>
        <w:spacing w:before="0" w:beforeAutospacing="0" w:after="0" w:afterAutospacing="0"/>
        <w:jc w:val="both"/>
        <w:rPr>
          <w:rFonts w:ascii="Calibri" w:hAnsi="Calibri" w:cs="Calibri"/>
          <w:color w:val="000000"/>
        </w:rPr>
      </w:pPr>
      <w:r w:rsidRPr="00DF28BB">
        <w:rPr>
          <w:rFonts w:ascii="Calibri" w:hAnsi="Calibri" w:cs="Calibri"/>
          <w:color w:val="000000"/>
        </w:rPr>
        <w:t>V povezavi z uvedbo posebne nižje stopnje DDV se v skladu s spremembo Pravilnika o izvajanju Zakona o davku na dodano vrednost, objavljenem v Uradnem listu RS št. 77/19, črta 52. člen (zaradi črtanja 6. točke Priloge I k ZDDV-1) in dodaja nov 59.e člen, ki določa dobave iz 1. točke Priloge IV k ZDDV-1. Prav tako se spreminja obrazec DDV-O (Priloga VIII).</w:t>
      </w:r>
    </w:p>
    <w:p w14:paraId="3E2228CB" w14:textId="77777777" w:rsidR="0050431D" w:rsidRPr="00DF28BB" w:rsidRDefault="0050431D" w:rsidP="0050431D">
      <w:pPr>
        <w:pStyle w:val="Navadensplet"/>
        <w:shd w:val="clear" w:color="auto" w:fill="FFFFFF"/>
        <w:spacing w:before="0" w:beforeAutospacing="0" w:after="0" w:afterAutospacing="0"/>
        <w:jc w:val="both"/>
        <w:rPr>
          <w:rFonts w:ascii="Calibri" w:hAnsi="Calibri" w:cs="Calibri"/>
          <w:color w:val="000000"/>
        </w:rPr>
      </w:pPr>
      <w:r w:rsidRPr="00DF28BB">
        <w:rPr>
          <w:rFonts w:ascii="Calibri" w:hAnsi="Calibri" w:cs="Calibri"/>
          <w:color w:val="000000"/>
        </w:rPr>
        <w:lastRenderedPageBreak/>
        <w:br/>
      </w:r>
    </w:p>
    <w:p w14:paraId="3F83BEC0" w14:textId="77777777" w:rsidR="0050431D" w:rsidRPr="00DF28BB" w:rsidRDefault="0050431D" w:rsidP="0050431D">
      <w:pPr>
        <w:pStyle w:val="Navadensplet"/>
        <w:shd w:val="clear" w:color="auto" w:fill="FFFFFF"/>
        <w:spacing w:before="0" w:beforeAutospacing="0" w:after="0" w:afterAutospacing="0"/>
        <w:jc w:val="both"/>
        <w:rPr>
          <w:rFonts w:ascii="Calibri" w:hAnsi="Calibri" w:cs="Calibri"/>
          <w:color w:val="000000"/>
        </w:rPr>
      </w:pPr>
      <w:r w:rsidRPr="00DF28BB">
        <w:rPr>
          <w:rFonts w:ascii="Calibri" w:hAnsi="Calibri" w:cs="Calibri"/>
          <w:color w:val="000000"/>
        </w:rPr>
        <w:t>V skladu z novim 59.e členom velja:</w:t>
      </w:r>
    </w:p>
    <w:p w14:paraId="098CCF4D" w14:textId="352B5458" w:rsidR="0050431D" w:rsidRPr="00DF28BB" w:rsidRDefault="0050431D" w:rsidP="0050431D">
      <w:pPr>
        <w:pStyle w:val="Navadensplet"/>
        <w:shd w:val="clear" w:color="auto" w:fill="FFFFFF"/>
        <w:spacing w:before="0" w:beforeAutospacing="0" w:after="0" w:afterAutospacing="0"/>
        <w:jc w:val="both"/>
        <w:rPr>
          <w:rFonts w:ascii="Calibri" w:hAnsi="Calibri" w:cs="Calibri"/>
          <w:b/>
          <w:bCs/>
          <w:color w:val="000000"/>
        </w:rPr>
      </w:pPr>
      <w:r w:rsidRPr="00DF28BB">
        <w:rPr>
          <w:rFonts w:ascii="Calibri" w:hAnsi="Calibri" w:cs="Calibri"/>
          <w:b/>
          <w:bCs/>
          <w:color w:val="000000"/>
        </w:rPr>
        <w:br/>
        <w:t xml:space="preserve">Med izdelke iz 1. točke Priloge IV k ZDDV-1 </w:t>
      </w:r>
      <w:r w:rsidRPr="00DF28BB">
        <w:rPr>
          <w:rFonts w:ascii="Calibri" w:hAnsi="Calibri" w:cs="Calibri"/>
          <w:b/>
          <w:bCs/>
          <w:color w:val="000000"/>
          <w:u w:val="single"/>
        </w:rPr>
        <w:t>se uvrščajo</w:t>
      </w:r>
      <w:r w:rsidRPr="00DF28BB">
        <w:rPr>
          <w:rFonts w:ascii="Calibri" w:hAnsi="Calibri" w:cs="Calibri"/>
          <w:b/>
          <w:bCs/>
          <w:color w:val="000000"/>
        </w:rPr>
        <w:t>:</w:t>
      </w:r>
    </w:p>
    <w:p w14:paraId="79F96761" w14:textId="77777777" w:rsidR="0050431D" w:rsidRPr="00DF28BB" w:rsidRDefault="0050431D" w:rsidP="0050431D">
      <w:pPr>
        <w:pStyle w:val="qowt-li-20"/>
        <w:shd w:val="clear" w:color="auto" w:fill="FFFFFF"/>
        <w:spacing w:before="0" w:beforeAutospacing="0" w:after="0" w:afterAutospacing="0"/>
        <w:ind w:left="357"/>
        <w:rPr>
          <w:rFonts w:ascii="Calibri" w:hAnsi="Calibri" w:cs="Calibri"/>
          <w:color w:val="000000"/>
        </w:rPr>
      </w:pPr>
      <w:r w:rsidRPr="00DF28BB">
        <w:rPr>
          <w:rFonts w:ascii="Calibri" w:hAnsi="Calibri" w:cs="Calibri"/>
          <w:color w:val="000000"/>
        </w:rPr>
        <w:t>tiskane knjige, brošure, letaki in podobno gradivo (tarifna oznaka: 4901);</w:t>
      </w:r>
    </w:p>
    <w:p w14:paraId="6FFFED18" w14:textId="77777777" w:rsidR="0050431D" w:rsidRPr="00DF28BB" w:rsidRDefault="0050431D" w:rsidP="0050431D">
      <w:pPr>
        <w:pStyle w:val="qowt-li-20"/>
        <w:shd w:val="clear" w:color="auto" w:fill="FFFFFF"/>
        <w:spacing w:before="0" w:beforeAutospacing="0" w:after="0" w:afterAutospacing="0"/>
        <w:ind w:left="357"/>
        <w:rPr>
          <w:rFonts w:ascii="Calibri" w:hAnsi="Calibri" w:cs="Calibri"/>
          <w:color w:val="000000"/>
        </w:rPr>
      </w:pPr>
      <w:r w:rsidRPr="00DF28BB">
        <w:rPr>
          <w:rFonts w:ascii="Calibri" w:hAnsi="Calibri" w:cs="Calibri"/>
          <w:color w:val="000000"/>
        </w:rPr>
        <w:t>časopisi, revije in druge periodične publikacije (tarifna oznaka: 4902);</w:t>
      </w:r>
    </w:p>
    <w:p w14:paraId="4837B179" w14:textId="77777777" w:rsidR="0050431D" w:rsidRPr="00DF28BB" w:rsidRDefault="0050431D" w:rsidP="0050431D">
      <w:pPr>
        <w:pStyle w:val="qowt-li-20"/>
        <w:shd w:val="clear" w:color="auto" w:fill="FFFFFF"/>
        <w:spacing w:before="0" w:beforeAutospacing="0" w:after="0" w:afterAutospacing="0"/>
        <w:ind w:left="357"/>
        <w:rPr>
          <w:rFonts w:ascii="Calibri" w:hAnsi="Calibri" w:cs="Calibri"/>
          <w:color w:val="000000"/>
        </w:rPr>
      </w:pPr>
      <w:r w:rsidRPr="00DF28BB">
        <w:rPr>
          <w:rFonts w:ascii="Calibri" w:hAnsi="Calibri" w:cs="Calibri"/>
          <w:color w:val="000000"/>
        </w:rPr>
        <w:t>otroške slikanice (tarifna oznaka: 4903 00 00);</w:t>
      </w:r>
    </w:p>
    <w:p w14:paraId="1BA03D42" w14:textId="77777777" w:rsidR="0050431D" w:rsidRPr="00DF28BB" w:rsidRDefault="0050431D" w:rsidP="0050431D">
      <w:pPr>
        <w:pStyle w:val="qowt-li-20"/>
        <w:shd w:val="clear" w:color="auto" w:fill="FFFFFF"/>
        <w:spacing w:before="0" w:beforeAutospacing="0" w:after="0" w:afterAutospacing="0"/>
        <w:ind w:left="357"/>
        <w:rPr>
          <w:rFonts w:ascii="Calibri" w:hAnsi="Calibri" w:cs="Calibri"/>
          <w:color w:val="000000"/>
        </w:rPr>
      </w:pPr>
      <w:r w:rsidRPr="00DF28BB">
        <w:rPr>
          <w:rFonts w:ascii="Calibri" w:hAnsi="Calibri" w:cs="Calibri"/>
          <w:color w:val="000000"/>
        </w:rPr>
        <w:t>glasbena dela (tarifna oznaka: 4904 00 00);</w:t>
      </w:r>
    </w:p>
    <w:p w14:paraId="6D5ADFB2" w14:textId="77777777" w:rsidR="0050431D" w:rsidRPr="00DF28BB" w:rsidRDefault="0050431D" w:rsidP="0050431D">
      <w:pPr>
        <w:pStyle w:val="qowt-li-20"/>
        <w:shd w:val="clear" w:color="auto" w:fill="FFFFFF"/>
        <w:spacing w:before="0" w:beforeAutospacing="0" w:after="0" w:afterAutospacing="0"/>
        <w:ind w:left="357"/>
        <w:rPr>
          <w:rFonts w:ascii="Calibri" w:hAnsi="Calibri" w:cs="Calibri"/>
          <w:color w:val="000000"/>
        </w:rPr>
      </w:pPr>
      <w:r w:rsidRPr="00DF28BB">
        <w:rPr>
          <w:rFonts w:ascii="Calibri" w:hAnsi="Calibri" w:cs="Calibri"/>
          <w:color w:val="000000"/>
        </w:rPr>
        <w:t>zemljevidi ter hidrografske in podobne karte vseh vrst (tarifna oznaka: 4905);</w:t>
      </w:r>
    </w:p>
    <w:p w14:paraId="52449DE2" w14:textId="77777777" w:rsidR="0050431D" w:rsidRPr="00DF28BB" w:rsidRDefault="0050431D" w:rsidP="0050431D">
      <w:pPr>
        <w:pStyle w:val="qowt-li-20"/>
        <w:shd w:val="clear" w:color="auto" w:fill="FFFFFF"/>
        <w:spacing w:before="0" w:beforeAutospacing="0" w:after="0" w:afterAutospacing="0"/>
        <w:ind w:left="357"/>
        <w:jc w:val="both"/>
        <w:rPr>
          <w:rFonts w:ascii="Calibri" w:hAnsi="Calibri" w:cs="Calibri"/>
          <w:color w:val="000000"/>
        </w:rPr>
      </w:pPr>
      <w:r w:rsidRPr="00DF28BB">
        <w:rPr>
          <w:rFonts w:ascii="Calibri" w:hAnsi="Calibri" w:cs="Calibri"/>
          <w:color w:val="000000"/>
        </w:rPr>
        <w:t>knjige, slikanice, glasbene knjige z notami in atlasi na posnetih nosilcih z besedilnimi, slikovnimi in zvočnimi zapisi (tarifna oznaka: 8523).</w:t>
      </w:r>
    </w:p>
    <w:p w14:paraId="2D69C86F" w14:textId="52E84EFE" w:rsidR="0050431D" w:rsidRPr="00DF28BB" w:rsidRDefault="0050431D" w:rsidP="0050431D">
      <w:pPr>
        <w:pStyle w:val="Navadensplet"/>
        <w:shd w:val="clear" w:color="auto" w:fill="FFFFFF"/>
        <w:spacing w:before="0" w:beforeAutospacing="0" w:after="0" w:afterAutospacing="0"/>
        <w:jc w:val="both"/>
        <w:rPr>
          <w:rFonts w:ascii="Calibri" w:hAnsi="Calibri" w:cs="Calibri"/>
          <w:color w:val="000000"/>
        </w:rPr>
      </w:pPr>
    </w:p>
    <w:p w14:paraId="4E3B224A" w14:textId="77777777" w:rsidR="0050431D" w:rsidRPr="00DF28BB" w:rsidRDefault="0050431D" w:rsidP="0050431D">
      <w:pPr>
        <w:pStyle w:val="Navadensplet"/>
        <w:shd w:val="clear" w:color="auto" w:fill="FFFFFF"/>
        <w:spacing w:before="0" w:beforeAutospacing="0" w:after="0" w:afterAutospacing="0"/>
        <w:jc w:val="both"/>
        <w:rPr>
          <w:rFonts w:ascii="Calibri" w:hAnsi="Calibri" w:cs="Calibri"/>
          <w:b/>
          <w:bCs/>
          <w:color w:val="000000"/>
        </w:rPr>
      </w:pPr>
      <w:r w:rsidRPr="00DF28BB">
        <w:rPr>
          <w:rFonts w:ascii="Calibri" w:hAnsi="Calibri" w:cs="Calibri"/>
          <w:b/>
          <w:bCs/>
          <w:color w:val="000000"/>
        </w:rPr>
        <w:t xml:space="preserve">Med </w:t>
      </w:r>
      <w:r w:rsidRPr="00DF28BB">
        <w:rPr>
          <w:rFonts w:ascii="Calibri" w:hAnsi="Calibri" w:cs="Calibri"/>
          <w:b/>
          <w:bCs/>
          <w:color w:val="000000"/>
          <w:u w:val="single"/>
        </w:rPr>
        <w:t>elektronske dobave gradiv</w:t>
      </w:r>
      <w:r w:rsidRPr="00DF28BB">
        <w:rPr>
          <w:rFonts w:ascii="Calibri" w:hAnsi="Calibri" w:cs="Calibri"/>
          <w:b/>
          <w:bCs/>
          <w:color w:val="000000"/>
        </w:rPr>
        <w:t xml:space="preserve"> iz 1. točke Priloge IV k ZDDV-1 </w:t>
      </w:r>
      <w:r w:rsidRPr="00DF28BB">
        <w:rPr>
          <w:rFonts w:ascii="Calibri" w:hAnsi="Calibri" w:cs="Calibri"/>
          <w:b/>
          <w:bCs/>
          <w:color w:val="000000"/>
          <w:u w:val="single"/>
        </w:rPr>
        <w:t>se uvršča</w:t>
      </w:r>
      <w:r w:rsidRPr="00DF28BB">
        <w:rPr>
          <w:rFonts w:ascii="Calibri" w:hAnsi="Calibri" w:cs="Calibri"/>
          <w:b/>
          <w:bCs/>
          <w:color w:val="000000"/>
        </w:rPr>
        <w:t xml:space="preserve"> elektronsko opravljanje storitev prek medmrežja ali elektronskega omrežja, s katerim se zagotavlja dostop do: </w:t>
      </w:r>
    </w:p>
    <w:p w14:paraId="4D9F542A" w14:textId="77777777" w:rsidR="0050431D" w:rsidRPr="00DF28BB" w:rsidRDefault="0050431D" w:rsidP="0050431D">
      <w:pPr>
        <w:pStyle w:val="qowt-li-00"/>
        <w:shd w:val="clear" w:color="auto" w:fill="FFFFFF"/>
        <w:spacing w:before="0" w:beforeAutospacing="0" w:after="0" w:afterAutospacing="0"/>
        <w:ind w:left="357"/>
        <w:jc w:val="both"/>
        <w:rPr>
          <w:rFonts w:ascii="Calibri" w:hAnsi="Calibri" w:cs="Calibri"/>
          <w:color w:val="000000"/>
        </w:rPr>
      </w:pPr>
      <w:r w:rsidRPr="00DF28BB">
        <w:rPr>
          <w:rFonts w:ascii="Calibri" w:hAnsi="Calibri" w:cs="Calibri"/>
          <w:color w:val="000000"/>
        </w:rPr>
        <w:t>elektronskih knjig in elektronskih učbenikov;</w:t>
      </w:r>
    </w:p>
    <w:p w14:paraId="746C9C95" w14:textId="77777777" w:rsidR="0050431D" w:rsidRPr="00DF28BB" w:rsidRDefault="0050431D" w:rsidP="0050431D">
      <w:pPr>
        <w:pStyle w:val="qowt-li-00"/>
        <w:shd w:val="clear" w:color="auto" w:fill="FFFFFF"/>
        <w:spacing w:before="0" w:beforeAutospacing="0" w:after="0" w:afterAutospacing="0"/>
        <w:ind w:left="357"/>
        <w:jc w:val="both"/>
        <w:rPr>
          <w:rFonts w:ascii="Calibri" w:hAnsi="Calibri" w:cs="Calibri"/>
          <w:color w:val="000000"/>
        </w:rPr>
      </w:pPr>
      <w:r w:rsidRPr="00DF28BB">
        <w:rPr>
          <w:rFonts w:ascii="Calibri" w:hAnsi="Calibri" w:cs="Calibri"/>
          <w:color w:val="000000"/>
        </w:rPr>
        <w:t>elektronskih časopisov, elektronskih revij in drugih elektronskih periodičnih publikacij ali redno elektronsko posodabljanih vsebin, ki imajo namen obveščati o novicah ali drugih temah;</w:t>
      </w:r>
    </w:p>
    <w:p w14:paraId="05BFEB5B" w14:textId="77777777" w:rsidR="0050431D" w:rsidRPr="00DF28BB" w:rsidRDefault="0050431D" w:rsidP="0050431D">
      <w:pPr>
        <w:pStyle w:val="qowt-li-00"/>
        <w:shd w:val="clear" w:color="auto" w:fill="FFFFFF"/>
        <w:spacing w:before="0" w:beforeAutospacing="0" w:after="0" w:afterAutospacing="0"/>
        <w:ind w:left="357"/>
        <w:jc w:val="both"/>
        <w:rPr>
          <w:rFonts w:ascii="Calibri" w:hAnsi="Calibri" w:cs="Calibri"/>
          <w:color w:val="000000"/>
        </w:rPr>
      </w:pPr>
      <w:r w:rsidRPr="00DF28BB">
        <w:rPr>
          <w:rFonts w:ascii="Calibri" w:hAnsi="Calibri" w:cs="Calibri"/>
          <w:color w:val="000000"/>
        </w:rPr>
        <w:t>elektronskih izdaj: zvočnih knjig, brošur, letakov ali podobnega gradiva; otroških slikanic, knjig za risanje ali pobarvank; glasbenih del ali glasbenih knjig z notami; atlasov, zemljevidov ter hidrografskih in podobnih kart.</w:t>
      </w:r>
    </w:p>
    <w:p w14:paraId="653D9F18" w14:textId="715E8A30" w:rsidR="0050431D" w:rsidRPr="00DF28BB" w:rsidRDefault="0050431D" w:rsidP="0050431D">
      <w:pPr>
        <w:pStyle w:val="Navadensplet"/>
        <w:shd w:val="clear" w:color="auto" w:fill="FFFFFF"/>
        <w:spacing w:before="0" w:beforeAutospacing="0" w:after="0" w:afterAutospacing="0"/>
        <w:jc w:val="both"/>
        <w:rPr>
          <w:rFonts w:ascii="Calibri" w:hAnsi="Calibri" w:cs="Calibri"/>
          <w:b/>
          <w:bCs/>
          <w:color w:val="000000"/>
        </w:rPr>
      </w:pPr>
      <w:r w:rsidRPr="00DF28BB">
        <w:rPr>
          <w:rFonts w:ascii="Calibri" w:hAnsi="Calibri" w:cs="Calibri"/>
          <w:color w:val="000000"/>
        </w:rPr>
        <w:br/>
      </w:r>
      <w:r w:rsidRPr="00DF28BB">
        <w:rPr>
          <w:rFonts w:ascii="Calibri" w:hAnsi="Calibri" w:cs="Calibri"/>
          <w:b/>
          <w:bCs/>
          <w:color w:val="000000"/>
        </w:rPr>
        <w:t xml:space="preserve">Med navedene izdelke in storitve se </w:t>
      </w:r>
      <w:r w:rsidRPr="00DF28BB">
        <w:rPr>
          <w:rFonts w:ascii="Calibri" w:hAnsi="Calibri" w:cs="Calibri"/>
          <w:b/>
          <w:bCs/>
          <w:color w:val="000000"/>
          <w:u w:val="single"/>
        </w:rPr>
        <w:t>ne</w:t>
      </w:r>
      <w:r w:rsidRPr="00DF28BB">
        <w:rPr>
          <w:rFonts w:ascii="Calibri" w:hAnsi="Calibri" w:cs="Calibri"/>
          <w:b/>
          <w:bCs/>
          <w:color w:val="000000"/>
        </w:rPr>
        <w:t xml:space="preserve"> uvršča:</w:t>
      </w:r>
    </w:p>
    <w:p w14:paraId="080D5661" w14:textId="77777777" w:rsidR="0050431D" w:rsidRPr="00DF28BB" w:rsidRDefault="0050431D" w:rsidP="0050431D">
      <w:pPr>
        <w:pStyle w:val="qowt-li-30"/>
        <w:shd w:val="clear" w:color="auto" w:fill="FFFFFF"/>
        <w:spacing w:before="0" w:beforeAutospacing="0" w:after="0" w:afterAutospacing="0"/>
        <w:ind w:left="357"/>
        <w:jc w:val="both"/>
        <w:rPr>
          <w:rFonts w:ascii="Calibri" w:hAnsi="Calibri" w:cs="Calibri"/>
          <w:color w:val="000000"/>
        </w:rPr>
      </w:pPr>
      <w:r w:rsidRPr="00DF28BB">
        <w:rPr>
          <w:rFonts w:ascii="Calibri" w:hAnsi="Calibri" w:cs="Calibri"/>
          <w:color w:val="000000"/>
        </w:rPr>
        <w:t xml:space="preserve">dobava gradiva, ki več kot 50 odstotkov prostora namenja oglaševanju, </w:t>
      </w:r>
    </w:p>
    <w:p w14:paraId="02B787FB" w14:textId="77777777" w:rsidR="0050431D" w:rsidRPr="00DF28BB" w:rsidRDefault="0050431D" w:rsidP="0050431D">
      <w:pPr>
        <w:pStyle w:val="qowt-li-30"/>
        <w:shd w:val="clear" w:color="auto" w:fill="FFFFFF"/>
        <w:spacing w:before="0" w:beforeAutospacing="0" w:after="0" w:afterAutospacing="0"/>
        <w:ind w:left="357"/>
        <w:jc w:val="both"/>
        <w:rPr>
          <w:rFonts w:ascii="Calibri" w:hAnsi="Calibri" w:cs="Calibri"/>
          <w:color w:val="000000"/>
        </w:rPr>
      </w:pPr>
      <w:r w:rsidRPr="00DF28BB">
        <w:rPr>
          <w:rFonts w:ascii="Calibri" w:hAnsi="Calibri" w:cs="Calibri"/>
          <w:color w:val="000000"/>
        </w:rPr>
        <w:t xml:space="preserve">glasba, filmi in igre, vključno z igrami na srečo in loterijo, ter </w:t>
      </w:r>
    </w:p>
    <w:p w14:paraId="55E85943" w14:textId="77777777" w:rsidR="0050431D" w:rsidRPr="00DF28BB" w:rsidRDefault="0050431D" w:rsidP="0050431D">
      <w:pPr>
        <w:pStyle w:val="qowt-li-30"/>
        <w:shd w:val="clear" w:color="auto" w:fill="FFFFFF"/>
        <w:spacing w:before="0" w:beforeAutospacing="0" w:after="0" w:afterAutospacing="0"/>
        <w:ind w:left="357"/>
        <w:jc w:val="both"/>
        <w:rPr>
          <w:rFonts w:ascii="Calibri" w:hAnsi="Calibri" w:cs="Calibri"/>
          <w:color w:val="000000"/>
        </w:rPr>
      </w:pPr>
      <w:r w:rsidRPr="00DF28BB">
        <w:rPr>
          <w:rFonts w:ascii="Calibri" w:hAnsi="Calibri" w:cs="Calibri"/>
          <w:color w:val="000000"/>
        </w:rPr>
        <w:t xml:space="preserve">interaktivno učenje, </w:t>
      </w:r>
    </w:p>
    <w:p w14:paraId="4DB53835" w14:textId="77777777" w:rsidR="0050431D" w:rsidRPr="00DF28BB" w:rsidRDefault="0050431D" w:rsidP="0050431D">
      <w:pPr>
        <w:pStyle w:val="qowt-li-30"/>
        <w:shd w:val="clear" w:color="auto" w:fill="FFFFFF"/>
        <w:spacing w:before="0" w:beforeAutospacing="0" w:after="0" w:afterAutospacing="0"/>
        <w:ind w:left="357"/>
        <w:jc w:val="both"/>
        <w:rPr>
          <w:rFonts w:ascii="Calibri" w:hAnsi="Calibri" w:cs="Calibri"/>
          <w:color w:val="000000"/>
        </w:rPr>
      </w:pPr>
      <w:r w:rsidRPr="00DF28BB">
        <w:rPr>
          <w:rFonts w:ascii="Calibri" w:hAnsi="Calibri" w:cs="Calibri"/>
          <w:color w:val="000000"/>
        </w:rPr>
        <w:t>predvajanja in prireditve s področij politike, kulture, umetnosti, športa, znanosti in zabave.</w:t>
      </w:r>
    </w:p>
    <w:p w14:paraId="3C3A2411" w14:textId="5B65EC13" w:rsidR="0050431D" w:rsidRPr="00DF28BB" w:rsidRDefault="0050431D" w:rsidP="0050431D">
      <w:pPr>
        <w:pStyle w:val="Navadensplet"/>
        <w:shd w:val="clear" w:color="auto" w:fill="FFFFFF"/>
        <w:spacing w:before="0" w:beforeAutospacing="0" w:after="0" w:afterAutospacing="0"/>
        <w:jc w:val="both"/>
        <w:rPr>
          <w:rFonts w:ascii="Calibri" w:hAnsi="Calibri" w:cs="Calibri"/>
          <w:color w:val="000000"/>
          <w:highlight w:val="yellow"/>
        </w:rPr>
      </w:pPr>
      <w:r w:rsidRPr="00DF28BB">
        <w:rPr>
          <w:rFonts w:ascii="Calibri" w:hAnsi="Calibri" w:cs="Calibri"/>
          <w:color w:val="000000"/>
        </w:rPr>
        <w:br/>
      </w:r>
      <w:r w:rsidR="00DF28BB" w:rsidRPr="00DF28BB">
        <w:rPr>
          <w:rFonts w:ascii="Calibri" w:hAnsi="Calibri" w:cs="Calibri"/>
          <w:color w:val="000000"/>
          <w:highlight w:val="yellow"/>
        </w:rPr>
        <w:t xml:space="preserve">DILEMA: </w:t>
      </w:r>
    </w:p>
    <w:p w14:paraId="1D867FB6" w14:textId="701E8345" w:rsidR="0050431D" w:rsidRPr="00DF28BB" w:rsidRDefault="0050431D" w:rsidP="0050431D">
      <w:pPr>
        <w:pStyle w:val="Navadensplet"/>
        <w:shd w:val="clear" w:color="auto" w:fill="FFFFFF"/>
        <w:spacing w:before="0" w:beforeAutospacing="0" w:after="0" w:afterAutospacing="0"/>
        <w:jc w:val="both"/>
        <w:rPr>
          <w:rFonts w:ascii="Calibri" w:hAnsi="Calibri" w:cs="Calibri"/>
          <w:color w:val="000000"/>
          <w:highlight w:val="yellow"/>
        </w:rPr>
      </w:pPr>
    </w:p>
    <w:p w14:paraId="4BDE334C" w14:textId="77777777" w:rsidR="0050431D" w:rsidRPr="00DF28BB" w:rsidRDefault="0050431D" w:rsidP="0050431D">
      <w:pPr>
        <w:pStyle w:val="qowt-li-10"/>
        <w:shd w:val="clear" w:color="auto" w:fill="FFFFFF"/>
        <w:spacing w:before="0" w:beforeAutospacing="0" w:after="0" w:afterAutospacing="0"/>
        <w:ind w:left="357"/>
        <w:jc w:val="both"/>
        <w:rPr>
          <w:rFonts w:ascii="Calibri" w:hAnsi="Calibri" w:cs="Calibri"/>
          <w:i/>
          <w:iCs/>
          <w:color w:val="000000"/>
          <w:highlight w:val="yellow"/>
          <w:u w:val="single"/>
        </w:rPr>
      </w:pPr>
      <w:r w:rsidRPr="00DF28BB">
        <w:rPr>
          <w:rFonts w:ascii="Calibri" w:hAnsi="Calibri" w:cs="Calibri"/>
          <w:i/>
          <w:iCs/>
          <w:color w:val="000000"/>
          <w:highlight w:val="yellow"/>
          <w:u w:val="single"/>
        </w:rPr>
        <w:t>Ali je treba na računu za dobavo časopisa in tedenske revije, opravljene dne 1. 1. 2020, že obračunati DDV po stopnji 5 %?</w:t>
      </w:r>
    </w:p>
    <w:p w14:paraId="2662BDB5" w14:textId="5D9EDD42" w:rsidR="0050431D" w:rsidRPr="00DF28BB" w:rsidRDefault="0050431D" w:rsidP="0050431D">
      <w:pPr>
        <w:pStyle w:val="qowt-stl-odstavekseznama"/>
        <w:shd w:val="clear" w:color="auto" w:fill="FFFFFF"/>
        <w:spacing w:before="0" w:beforeAutospacing="0" w:after="0" w:afterAutospacing="0"/>
        <w:ind w:left="357" w:hanging="357"/>
        <w:jc w:val="both"/>
        <w:rPr>
          <w:rFonts w:ascii="Calibri" w:hAnsi="Calibri" w:cs="Calibri"/>
          <w:color w:val="000000"/>
          <w:highlight w:val="yellow"/>
        </w:rPr>
      </w:pPr>
    </w:p>
    <w:p w14:paraId="35148D17" w14:textId="77777777" w:rsidR="0050431D" w:rsidRPr="00DF28BB" w:rsidRDefault="0050431D" w:rsidP="0050431D">
      <w:pPr>
        <w:pStyle w:val="qowt-stl-odstavekseznama"/>
        <w:shd w:val="clear" w:color="auto" w:fill="FFFFFF"/>
        <w:spacing w:before="0" w:beforeAutospacing="0" w:after="0" w:afterAutospacing="0"/>
        <w:jc w:val="both"/>
        <w:rPr>
          <w:rFonts w:ascii="Calibri" w:hAnsi="Calibri" w:cs="Calibri"/>
          <w:color w:val="000000"/>
        </w:rPr>
      </w:pPr>
      <w:r w:rsidRPr="00DF28BB">
        <w:rPr>
          <w:rFonts w:ascii="Calibri" w:hAnsi="Calibri" w:cs="Calibri"/>
          <w:color w:val="000000"/>
          <w:highlight w:val="yellow"/>
        </w:rPr>
        <w:t>Da. Od dobav knjig in periodičnih publikacij, kot tudi ostalih dobav, za katere se s 1. 1. 2020 uvaja posebna nižja stopnja DDV, je treba obračunati DDV po stopnji 5 %, če so opravljene od vključno 1. 1. 2020 in dalje.</w:t>
      </w:r>
    </w:p>
    <w:p w14:paraId="5B95AA41" w14:textId="341AAE86" w:rsidR="0050431D" w:rsidRDefault="0050431D" w:rsidP="001F2CF9">
      <w:pPr>
        <w:autoSpaceDE w:val="0"/>
        <w:autoSpaceDN w:val="0"/>
        <w:adjustRightInd w:val="0"/>
        <w:spacing w:after="0" w:line="240" w:lineRule="auto"/>
        <w:rPr>
          <w:rFonts w:ascii="Calibri" w:hAnsi="Calibri" w:cs="Calibri"/>
          <w:sz w:val="24"/>
          <w:szCs w:val="24"/>
        </w:rPr>
      </w:pPr>
    </w:p>
    <w:p w14:paraId="7EA611B5" w14:textId="44025473" w:rsidR="00B11462" w:rsidRDefault="00B11462" w:rsidP="001F2CF9">
      <w:pPr>
        <w:autoSpaceDE w:val="0"/>
        <w:autoSpaceDN w:val="0"/>
        <w:adjustRightInd w:val="0"/>
        <w:spacing w:after="0" w:line="240" w:lineRule="auto"/>
        <w:rPr>
          <w:rFonts w:ascii="Calibri" w:hAnsi="Calibri" w:cs="Calibri"/>
          <w:sz w:val="24"/>
          <w:szCs w:val="24"/>
        </w:rPr>
      </w:pPr>
    </w:p>
    <w:p w14:paraId="286E97D2" w14:textId="35C3172D" w:rsidR="00B11462" w:rsidRDefault="00B11462" w:rsidP="001F2CF9">
      <w:pPr>
        <w:autoSpaceDE w:val="0"/>
        <w:autoSpaceDN w:val="0"/>
        <w:adjustRightInd w:val="0"/>
        <w:spacing w:after="0" w:line="240" w:lineRule="auto"/>
        <w:rPr>
          <w:rFonts w:ascii="Calibri" w:hAnsi="Calibri" w:cs="Calibri"/>
          <w:sz w:val="24"/>
          <w:szCs w:val="24"/>
        </w:rPr>
      </w:pPr>
    </w:p>
    <w:p w14:paraId="185CE28E" w14:textId="3E6C26D2" w:rsidR="00B11462" w:rsidRDefault="00B11462" w:rsidP="001F2CF9">
      <w:pPr>
        <w:autoSpaceDE w:val="0"/>
        <w:autoSpaceDN w:val="0"/>
        <w:adjustRightInd w:val="0"/>
        <w:spacing w:after="0" w:line="240" w:lineRule="auto"/>
        <w:rPr>
          <w:rFonts w:ascii="Calibri" w:hAnsi="Calibri" w:cs="Calibri"/>
          <w:sz w:val="24"/>
          <w:szCs w:val="24"/>
        </w:rPr>
      </w:pPr>
    </w:p>
    <w:p w14:paraId="561A19D5" w14:textId="425DEE86" w:rsidR="00B11462" w:rsidRDefault="00B11462" w:rsidP="001F2CF9">
      <w:pPr>
        <w:autoSpaceDE w:val="0"/>
        <w:autoSpaceDN w:val="0"/>
        <w:adjustRightInd w:val="0"/>
        <w:spacing w:after="0" w:line="240" w:lineRule="auto"/>
        <w:rPr>
          <w:rFonts w:ascii="Calibri" w:hAnsi="Calibri" w:cs="Calibri"/>
          <w:sz w:val="24"/>
          <w:szCs w:val="24"/>
        </w:rPr>
      </w:pPr>
    </w:p>
    <w:p w14:paraId="289464F8" w14:textId="5FF25336" w:rsidR="00B11462" w:rsidRDefault="00B11462" w:rsidP="001F2CF9">
      <w:pPr>
        <w:autoSpaceDE w:val="0"/>
        <w:autoSpaceDN w:val="0"/>
        <w:adjustRightInd w:val="0"/>
        <w:spacing w:after="0" w:line="240" w:lineRule="auto"/>
        <w:rPr>
          <w:rFonts w:ascii="Calibri" w:hAnsi="Calibri" w:cs="Calibri"/>
          <w:sz w:val="24"/>
          <w:szCs w:val="24"/>
        </w:rPr>
      </w:pPr>
    </w:p>
    <w:p w14:paraId="6E6F25A4" w14:textId="3903FB6A" w:rsidR="00B11462" w:rsidRDefault="00B11462" w:rsidP="001F2CF9">
      <w:pPr>
        <w:autoSpaceDE w:val="0"/>
        <w:autoSpaceDN w:val="0"/>
        <w:adjustRightInd w:val="0"/>
        <w:spacing w:after="0" w:line="240" w:lineRule="auto"/>
        <w:rPr>
          <w:rFonts w:ascii="Calibri" w:hAnsi="Calibri" w:cs="Calibri"/>
          <w:sz w:val="24"/>
          <w:szCs w:val="24"/>
        </w:rPr>
      </w:pPr>
    </w:p>
    <w:p w14:paraId="68D0EEA4" w14:textId="32600151" w:rsidR="00B11462" w:rsidRDefault="00B11462" w:rsidP="001F2CF9">
      <w:pPr>
        <w:autoSpaceDE w:val="0"/>
        <w:autoSpaceDN w:val="0"/>
        <w:adjustRightInd w:val="0"/>
        <w:spacing w:after="0" w:line="240" w:lineRule="auto"/>
        <w:rPr>
          <w:rFonts w:ascii="Calibri" w:hAnsi="Calibri" w:cs="Calibri"/>
          <w:sz w:val="24"/>
          <w:szCs w:val="24"/>
        </w:rPr>
      </w:pPr>
    </w:p>
    <w:p w14:paraId="281F3DF2" w14:textId="51982542" w:rsidR="00B11462" w:rsidRDefault="00B11462" w:rsidP="001F2CF9">
      <w:pPr>
        <w:autoSpaceDE w:val="0"/>
        <w:autoSpaceDN w:val="0"/>
        <w:adjustRightInd w:val="0"/>
        <w:spacing w:after="0" w:line="240" w:lineRule="auto"/>
        <w:rPr>
          <w:rFonts w:ascii="Calibri" w:hAnsi="Calibri" w:cs="Calibri"/>
          <w:sz w:val="24"/>
          <w:szCs w:val="24"/>
        </w:rPr>
      </w:pPr>
    </w:p>
    <w:p w14:paraId="00405ABD" w14:textId="40578AC2" w:rsidR="00B11462" w:rsidRPr="00B11462" w:rsidRDefault="00B11462" w:rsidP="001F2CF9">
      <w:pPr>
        <w:autoSpaceDE w:val="0"/>
        <w:autoSpaceDN w:val="0"/>
        <w:adjustRightInd w:val="0"/>
        <w:spacing w:after="0" w:line="240" w:lineRule="auto"/>
        <w:rPr>
          <w:rFonts w:ascii="Calibri" w:hAnsi="Calibri" w:cs="Calibri"/>
          <w:b/>
          <w:bCs/>
          <w:sz w:val="24"/>
          <w:szCs w:val="24"/>
        </w:rPr>
      </w:pPr>
      <w:r w:rsidRPr="00B11462">
        <w:rPr>
          <w:rFonts w:ascii="Calibri" w:hAnsi="Calibri" w:cs="Calibri"/>
          <w:b/>
          <w:bCs/>
          <w:sz w:val="24"/>
          <w:szCs w:val="24"/>
        </w:rPr>
        <w:lastRenderedPageBreak/>
        <w:t xml:space="preserve">MINIMALNA BRUTO PLAČA, MINIMALNA BRUTO POKOJNINSKA OSNOVA </w:t>
      </w:r>
    </w:p>
    <w:p w14:paraId="79731402" w14:textId="4ED38145" w:rsidR="00B11462" w:rsidRPr="00B11462" w:rsidRDefault="00B11462" w:rsidP="001F2CF9">
      <w:pPr>
        <w:autoSpaceDE w:val="0"/>
        <w:autoSpaceDN w:val="0"/>
        <w:adjustRightInd w:val="0"/>
        <w:spacing w:after="0" w:line="240" w:lineRule="auto"/>
        <w:rPr>
          <w:rFonts w:ascii="Calibri" w:hAnsi="Calibri" w:cs="Calibri"/>
          <w:b/>
          <w:bCs/>
          <w:sz w:val="24"/>
          <w:szCs w:val="24"/>
        </w:rPr>
      </w:pPr>
    </w:p>
    <w:p w14:paraId="7C9E196F"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color w:val="262626" w:themeColor="text1" w:themeTint="D9"/>
          <w:sz w:val="24"/>
          <w:szCs w:val="24"/>
          <w:lang w:eastAsia="en-GB"/>
        </w:rPr>
        <w:t>Definicija minimalne bruto plače:</w:t>
      </w:r>
    </w:p>
    <w:p w14:paraId="5842A53E"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color w:val="262626" w:themeColor="text1" w:themeTint="D9"/>
          <w:sz w:val="24"/>
          <w:szCs w:val="24"/>
          <w:lang w:eastAsia="en-GB"/>
        </w:rPr>
        <w:t>Delavec je upravičen do plačila za opravljeno delo</w:t>
      </w:r>
      <w:r w:rsidRPr="00B11462">
        <w:rPr>
          <w:rFonts w:ascii="Calibri" w:eastAsia="Times New Roman" w:hAnsi="Calibri" w:cs="Calibri"/>
          <w:b/>
          <w:bCs/>
          <w:color w:val="262626" w:themeColor="text1" w:themeTint="D9"/>
          <w:sz w:val="24"/>
          <w:szCs w:val="24"/>
          <w:lang w:eastAsia="en-GB"/>
        </w:rPr>
        <w:t> najmanj v višini minimalne plače</w:t>
      </w:r>
      <w:r w:rsidRPr="00B11462">
        <w:rPr>
          <w:rFonts w:ascii="Calibri" w:eastAsia="Times New Roman" w:hAnsi="Calibri" w:cs="Calibri"/>
          <w:color w:val="262626" w:themeColor="text1" w:themeTint="D9"/>
          <w:sz w:val="24"/>
          <w:szCs w:val="24"/>
          <w:lang w:eastAsia="en-GB"/>
        </w:rPr>
        <w:t>, če pri delodajalcu v Republiki Sloveniji dela </w:t>
      </w:r>
      <w:r w:rsidRPr="00B11462">
        <w:rPr>
          <w:rFonts w:ascii="Calibri" w:eastAsia="Times New Roman" w:hAnsi="Calibri" w:cs="Calibri"/>
          <w:b/>
          <w:bCs/>
          <w:color w:val="262626" w:themeColor="text1" w:themeTint="D9"/>
          <w:sz w:val="24"/>
          <w:szCs w:val="24"/>
          <w:lang w:eastAsia="en-GB"/>
        </w:rPr>
        <w:t>poln delovni čas</w:t>
      </w:r>
      <w:r w:rsidRPr="00B11462">
        <w:rPr>
          <w:rFonts w:ascii="Calibri" w:eastAsia="Times New Roman" w:hAnsi="Calibri" w:cs="Calibri"/>
          <w:color w:val="262626" w:themeColor="text1" w:themeTint="D9"/>
          <w:sz w:val="24"/>
          <w:szCs w:val="24"/>
          <w:lang w:eastAsia="en-GB"/>
        </w:rPr>
        <w:t>. V primeru krajšega delovnega časa od polnega delavcu pripada najmanj sorazmerni del minimalne plače.</w:t>
      </w:r>
    </w:p>
    <w:p w14:paraId="0FCA2759"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color w:val="262626" w:themeColor="text1" w:themeTint="D9"/>
          <w:sz w:val="24"/>
          <w:szCs w:val="24"/>
          <w:lang w:eastAsia="en-GB"/>
        </w:rPr>
        <w:t>Iz osnovne zakonske dikcije izhaja, da v minimalno plačo sodijo vsi elementi plače, kot jih navaja Zakon o delovnih razmerjih, torej osnovna plača delavca za določen mesec, del plače za delovno uspešnost in dodatki, ki mu pripadajo, razen dodatka za delo preko polnega delovnega časa. Dodatno je Zakon o dopolnitvi Zakona o minimalni plači (Uradni list RS, št. 92/2015) iz minimalne plače izvzel še tri dodatke za delo v posebnih pogojih dela, ki izhajajo iz razporeditve delovnega časa, in sicer:</w:t>
      </w:r>
    </w:p>
    <w:p w14:paraId="5954436B" w14:textId="77777777" w:rsidR="00B11462" w:rsidRPr="00B11462" w:rsidRDefault="00B11462" w:rsidP="00B11462">
      <w:pPr>
        <w:numPr>
          <w:ilvl w:val="0"/>
          <w:numId w:val="3"/>
        </w:numPr>
        <w:shd w:val="clear" w:color="auto" w:fill="FFFFFF"/>
        <w:spacing w:before="120" w:after="120"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color w:val="262626" w:themeColor="text1" w:themeTint="D9"/>
          <w:sz w:val="24"/>
          <w:szCs w:val="24"/>
          <w:lang w:eastAsia="en-GB"/>
        </w:rPr>
        <w:t>dodatek za nočno delo,</w:t>
      </w:r>
    </w:p>
    <w:p w14:paraId="10AB41A8" w14:textId="77777777" w:rsidR="00B11462" w:rsidRPr="00B11462" w:rsidRDefault="00B11462" w:rsidP="00B11462">
      <w:pPr>
        <w:numPr>
          <w:ilvl w:val="0"/>
          <w:numId w:val="3"/>
        </w:numPr>
        <w:shd w:val="clear" w:color="auto" w:fill="FFFFFF"/>
        <w:spacing w:before="120" w:after="120"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color w:val="262626" w:themeColor="text1" w:themeTint="D9"/>
          <w:sz w:val="24"/>
          <w:szCs w:val="24"/>
          <w:lang w:eastAsia="en-GB"/>
        </w:rPr>
        <w:t>dodatek za delo v nedeljo ter</w:t>
      </w:r>
    </w:p>
    <w:p w14:paraId="15027F15" w14:textId="77777777" w:rsidR="00B11462" w:rsidRPr="00B11462" w:rsidRDefault="00B11462" w:rsidP="00B11462">
      <w:pPr>
        <w:numPr>
          <w:ilvl w:val="0"/>
          <w:numId w:val="3"/>
        </w:numPr>
        <w:shd w:val="clear" w:color="auto" w:fill="FFFFFF"/>
        <w:spacing w:before="120" w:after="120"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color w:val="262626" w:themeColor="text1" w:themeTint="D9"/>
          <w:sz w:val="24"/>
          <w:szCs w:val="24"/>
          <w:lang w:eastAsia="en-GB"/>
        </w:rPr>
        <w:t>dodatek za delo na praznike in dela proste dneve po zakonu,</w:t>
      </w:r>
    </w:p>
    <w:p w14:paraId="1BD2132F"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color w:val="262626" w:themeColor="text1" w:themeTint="D9"/>
          <w:sz w:val="24"/>
          <w:szCs w:val="24"/>
          <w:lang w:eastAsia="en-GB"/>
        </w:rPr>
        <w:t>kar se je začelo obračunavati za plačilo dela, opravljenega od 1. januarja 2016.</w:t>
      </w:r>
    </w:p>
    <w:p w14:paraId="6536C1A5"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color w:val="262626" w:themeColor="text1" w:themeTint="D9"/>
          <w:sz w:val="24"/>
          <w:szCs w:val="24"/>
          <w:lang w:eastAsia="en-GB"/>
        </w:rPr>
        <w:t>Poleg tega v minimalno plačo tudi ni možno vštevati povračil stroškov, ki jih je delodajalec dolžan izplačati delavcu (npr. povračilo stroškov za prehrano med delom, za prevoz na delo in z dela, stroškov na službenem potovanju), kot tudi ne drugih prejemkov iz delovnega razmerja (npr. regres za letni dopust, odpravnine, jubilejne nagrade).</w:t>
      </w:r>
    </w:p>
    <w:p w14:paraId="00AFD367"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color w:val="262626" w:themeColor="text1" w:themeTint="D9"/>
          <w:sz w:val="24"/>
          <w:szCs w:val="24"/>
          <w:lang w:eastAsia="en-GB"/>
        </w:rPr>
        <w:t>Višina minimalne bruto plače od 1. januarja 2018 do 31. decembra 2018: 842,79 evrov</w:t>
      </w:r>
    </w:p>
    <w:p w14:paraId="744DBE94" w14:textId="3A60FFA6"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color w:val="262626" w:themeColor="text1" w:themeTint="D9"/>
          <w:sz w:val="24"/>
          <w:szCs w:val="24"/>
          <w:lang w:eastAsia="en-GB"/>
        </w:rPr>
        <w:t>Višina minimalne bruto plače od </w:t>
      </w:r>
      <w:r w:rsidRPr="00B11462">
        <w:rPr>
          <w:rFonts w:ascii="Calibri" w:eastAsia="Times New Roman" w:hAnsi="Calibri" w:cs="Calibri"/>
          <w:b/>
          <w:bCs/>
          <w:color w:val="262626" w:themeColor="text1" w:themeTint="D9"/>
          <w:sz w:val="24"/>
          <w:szCs w:val="24"/>
          <w:lang w:eastAsia="en-GB"/>
        </w:rPr>
        <w:t>01.</w:t>
      </w:r>
      <w:r>
        <w:rPr>
          <w:rFonts w:ascii="Calibri" w:eastAsia="Times New Roman" w:hAnsi="Calibri" w:cs="Calibri"/>
          <w:b/>
          <w:bCs/>
          <w:color w:val="262626" w:themeColor="text1" w:themeTint="D9"/>
          <w:sz w:val="24"/>
          <w:szCs w:val="24"/>
          <w:lang w:eastAsia="en-GB"/>
        </w:rPr>
        <w:t xml:space="preserve"> </w:t>
      </w:r>
      <w:r w:rsidRPr="00B11462">
        <w:rPr>
          <w:rFonts w:ascii="Calibri" w:eastAsia="Times New Roman" w:hAnsi="Calibri" w:cs="Calibri"/>
          <w:b/>
          <w:bCs/>
          <w:color w:val="262626" w:themeColor="text1" w:themeTint="D9"/>
          <w:sz w:val="24"/>
          <w:szCs w:val="24"/>
          <w:lang w:eastAsia="en-GB"/>
        </w:rPr>
        <w:t>januarja 2019 do 31.decembra 2019: 886,63 evrov</w:t>
      </w:r>
    </w:p>
    <w:p w14:paraId="65951B64" w14:textId="363C5E45"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color w:val="262626" w:themeColor="text1" w:themeTint="D9"/>
          <w:sz w:val="24"/>
          <w:szCs w:val="24"/>
          <w:lang w:eastAsia="en-GB"/>
        </w:rPr>
        <w:t>Višina minimalne bruto plače od </w:t>
      </w:r>
      <w:r w:rsidRPr="00B11462">
        <w:rPr>
          <w:rFonts w:ascii="Calibri" w:eastAsia="Times New Roman" w:hAnsi="Calibri" w:cs="Calibri"/>
          <w:b/>
          <w:bCs/>
          <w:color w:val="262626" w:themeColor="text1" w:themeTint="D9"/>
          <w:sz w:val="24"/>
          <w:szCs w:val="24"/>
          <w:lang w:eastAsia="en-GB"/>
        </w:rPr>
        <w:t>01. januarja 2020 do 31.</w:t>
      </w:r>
      <w:r>
        <w:rPr>
          <w:rFonts w:ascii="Calibri" w:eastAsia="Times New Roman" w:hAnsi="Calibri" w:cs="Calibri"/>
          <w:b/>
          <w:bCs/>
          <w:color w:val="262626" w:themeColor="text1" w:themeTint="D9"/>
          <w:sz w:val="24"/>
          <w:szCs w:val="24"/>
          <w:lang w:eastAsia="en-GB"/>
        </w:rPr>
        <w:t xml:space="preserve"> </w:t>
      </w:r>
      <w:r w:rsidRPr="00B11462">
        <w:rPr>
          <w:rFonts w:ascii="Calibri" w:eastAsia="Times New Roman" w:hAnsi="Calibri" w:cs="Calibri"/>
          <w:b/>
          <w:bCs/>
          <w:color w:val="262626" w:themeColor="text1" w:themeTint="D9"/>
          <w:sz w:val="24"/>
          <w:szCs w:val="24"/>
          <w:lang w:eastAsia="en-GB"/>
        </w:rPr>
        <w:t>decembra 2020: 940,58 evrov</w:t>
      </w:r>
    </w:p>
    <w:p w14:paraId="2448B8CD"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color w:val="262626" w:themeColor="text1" w:themeTint="D9"/>
          <w:sz w:val="24"/>
          <w:szCs w:val="24"/>
          <w:lang w:eastAsia="en-GB"/>
        </w:rPr>
        <w:t>Spremembo višine minimalne plače določa Zakon o spremembah o minimalni plači ZMinP-B.</w:t>
      </w:r>
    </w:p>
    <w:p w14:paraId="14E6526A"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color w:val="262626" w:themeColor="text1" w:themeTint="D9"/>
          <w:sz w:val="24"/>
          <w:szCs w:val="24"/>
          <w:lang w:eastAsia="en-GB"/>
        </w:rPr>
        <w:t>»</w:t>
      </w:r>
      <w:r w:rsidRPr="00B11462">
        <w:rPr>
          <w:rFonts w:ascii="Calibri" w:eastAsia="Times New Roman" w:hAnsi="Calibri" w:cs="Calibri"/>
          <w:b/>
          <w:bCs/>
          <w:i/>
          <w:iCs/>
          <w:color w:val="262626" w:themeColor="text1" w:themeTint="D9"/>
          <w:sz w:val="24"/>
          <w:szCs w:val="24"/>
          <w:lang w:eastAsia="en-GB"/>
        </w:rPr>
        <w:t>Zakon o spremembah Zakona o minimalni plači ZMinP-B:</w:t>
      </w:r>
    </w:p>
    <w:p w14:paraId="62F459FD" w14:textId="77777777" w:rsidR="00B11462" w:rsidRPr="00B11462" w:rsidRDefault="006D6BDF"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hyperlink r:id="rId8" w:anchor="PREHODNE%C2%A0IN%C2%A0KON%C4%8CNA%C2%A0DOLO%C4%8CBA" w:history="1">
        <w:r w:rsidR="00B11462" w:rsidRPr="00B11462">
          <w:rPr>
            <w:rFonts w:ascii="Calibri" w:eastAsia="Times New Roman" w:hAnsi="Calibri" w:cs="Calibri"/>
            <w:b/>
            <w:bCs/>
            <w:i/>
            <w:iCs/>
            <w:color w:val="262626" w:themeColor="text1" w:themeTint="D9"/>
            <w:sz w:val="24"/>
            <w:szCs w:val="24"/>
            <w:u w:val="single"/>
            <w:lang w:eastAsia="en-GB"/>
          </w:rPr>
          <w:t>PREHODNE IN KONČNA DOLOČBA </w:t>
        </w:r>
      </w:hyperlink>
    </w:p>
    <w:p w14:paraId="532D2290" w14:textId="77777777" w:rsidR="00B11462" w:rsidRPr="00B11462" w:rsidRDefault="006D6BDF" w:rsidP="00B11462">
      <w:pPr>
        <w:numPr>
          <w:ilvl w:val="0"/>
          <w:numId w:val="4"/>
        </w:numPr>
        <w:shd w:val="clear" w:color="auto" w:fill="FFFFFF"/>
        <w:spacing w:before="120" w:after="120" w:line="240" w:lineRule="auto"/>
        <w:rPr>
          <w:rFonts w:ascii="Calibri" w:eastAsia="Times New Roman" w:hAnsi="Calibri" w:cs="Calibri"/>
          <w:color w:val="262626" w:themeColor="text1" w:themeTint="D9"/>
          <w:sz w:val="24"/>
          <w:szCs w:val="24"/>
          <w:lang w:eastAsia="en-GB"/>
        </w:rPr>
      </w:pPr>
      <w:hyperlink r:id="rId9" w:anchor="5.%C2%A0%C4%8Dlen" w:history="1">
        <w:r w:rsidR="00B11462" w:rsidRPr="00B11462">
          <w:rPr>
            <w:rFonts w:ascii="Calibri" w:eastAsia="Times New Roman" w:hAnsi="Calibri" w:cs="Calibri"/>
            <w:b/>
            <w:bCs/>
            <w:i/>
            <w:iCs/>
            <w:color w:val="262626" w:themeColor="text1" w:themeTint="D9"/>
            <w:sz w:val="24"/>
            <w:szCs w:val="24"/>
            <w:u w:val="single"/>
            <w:lang w:eastAsia="en-GB"/>
          </w:rPr>
          <w:t>člen </w:t>
        </w:r>
      </w:hyperlink>
    </w:p>
    <w:p w14:paraId="0593DE7C" w14:textId="77777777" w:rsidR="00B11462" w:rsidRPr="00B11462" w:rsidRDefault="006D6BDF"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hyperlink r:id="rId10" w:anchor="(vi%C5%A1ina%C2%A0minimalne%C2%A0pla%C4%8De%C2%A0v%C2%A0prehodnem%C2%A0obdobju)" w:history="1">
        <w:r w:rsidR="00B11462" w:rsidRPr="00B11462">
          <w:rPr>
            <w:rFonts w:ascii="Calibri" w:eastAsia="Times New Roman" w:hAnsi="Calibri" w:cs="Calibri"/>
            <w:b/>
            <w:bCs/>
            <w:i/>
            <w:iCs/>
            <w:color w:val="262626" w:themeColor="text1" w:themeTint="D9"/>
            <w:sz w:val="24"/>
            <w:szCs w:val="24"/>
            <w:u w:val="single"/>
            <w:lang w:eastAsia="en-GB"/>
          </w:rPr>
          <w:t>(višina minimalne plače v prehodnem obdobju) </w:t>
        </w:r>
      </w:hyperlink>
    </w:p>
    <w:p w14:paraId="14CAEB4E"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i/>
          <w:iCs/>
          <w:color w:val="262626" w:themeColor="text1" w:themeTint="D9"/>
          <w:sz w:val="24"/>
          <w:szCs w:val="24"/>
          <w:lang w:eastAsia="en-GB"/>
        </w:rPr>
        <w:t>(1) Minimalna plača se začne obračunavati v skladu s tretjim odstavkom 2. člena zakona za plačilo dela, opravljenega od 1. januarja 2020 dalje.</w:t>
      </w:r>
    </w:p>
    <w:p w14:paraId="47B1C1EA"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i/>
          <w:iCs/>
          <w:color w:val="262626" w:themeColor="text1" w:themeTint="D9"/>
          <w:sz w:val="24"/>
          <w:szCs w:val="24"/>
          <w:lang w:eastAsia="en-GB"/>
        </w:rPr>
        <w:t>(2) Minimalna plača znaša:</w:t>
      </w:r>
    </w:p>
    <w:p w14:paraId="0968F8CA"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i/>
          <w:iCs/>
          <w:color w:val="262626" w:themeColor="text1" w:themeTint="D9"/>
          <w:sz w:val="24"/>
          <w:szCs w:val="24"/>
          <w:lang w:eastAsia="en-GB"/>
        </w:rPr>
        <w:t>– za plačilo dela, opravljenega od 1. januarja 2019 do 31. decembra 2019, 886,63 evrov,</w:t>
      </w:r>
    </w:p>
    <w:p w14:paraId="1B1D1B80"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i/>
          <w:iCs/>
          <w:color w:val="262626" w:themeColor="text1" w:themeTint="D9"/>
          <w:sz w:val="24"/>
          <w:szCs w:val="24"/>
          <w:lang w:eastAsia="en-GB"/>
        </w:rPr>
        <w:lastRenderedPageBreak/>
        <w:t>– za plačilo dela, opravljenega od 1. januarja 2020 do 31. decembra 2020, 940,58 evrov,</w:t>
      </w:r>
    </w:p>
    <w:p w14:paraId="46B4C73B" w14:textId="14BAC2AB"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i/>
          <w:iCs/>
          <w:color w:val="262626" w:themeColor="text1" w:themeTint="D9"/>
          <w:sz w:val="24"/>
          <w:szCs w:val="24"/>
          <w:lang w:eastAsia="en-GB"/>
        </w:rPr>
        <w:t>– za plačilo dela, opravljenega od 1. januarja 2021 dalje, kot določa 3. člen zakona.</w:t>
      </w:r>
    </w:p>
    <w:p w14:paraId="204BF216"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color w:val="262626" w:themeColor="text1" w:themeTint="D9"/>
          <w:sz w:val="24"/>
          <w:szCs w:val="24"/>
          <w:lang w:eastAsia="en-GB"/>
        </w:rPr>
        <w:t>Definicija minimalne  neto plače:</w:t>
      </w:r>
    </w:p>
    <w:p w14:paraId="1C92ECB1"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color w:val="262626" w:themeColor="text1" w:themeTint="D9"/>
          <w:sz w:val="24"/>
          <w:szCs w:val="24"/>
          <w:lang w:eastAsia="en-GB"/>
        </w:rPr>
        <w:t>Neto plača je plača, ki jo delavec prejme na svoj transakcijski račun brez upoštevanja povračil stroškov v zvezi z delom (prehrana, prevoz, dodatki idr.).</w:t>
      </w:r>
    </w:p>
    <w:p w14:paraId="4B8F0CB4"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color w:val="262626" w:themeColor="text1" w:themeTint="D9"/>
          <w:sz w:val="24"/>
          <w:szCs w:val="24"/>
          <w:lang w:eastAsia="en-GB"/>
        </w:rPr>
        <w:t>Višina minimalne neto plače od 1. januarja 2018 do 31. decembra 2018: 638,00 evrov</w:t>
      </w:r>
    </w:p>
    <w:p w14:paraId="49E73D64" w14:textId="5BCAD709"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color w:val="262626" w:themeColor="text1" w:themeTint="D9"/>
          <w:sz w:val="24"/>
          <w:szCs w:val="24"/>
          <w:lang w:eastAsia="en-GB"/>
        </w:rPr>
        <w:t>Višina minimalne neto plače</w:t>
      </w:r>
      <w:r w:rsidRPr="00B11462">
        <w:rPr>
          <w:rFonts w:ascii="Calibri" w:eastAsia="Times New Roman" w:hAnsi="Calibri" w:cs="Calibri"/>
          <w:color w:val="262626" w:themeColor="text1" w:themeTint="D9"/>
          <w:sz w:val="24"/>
          <w:szCs w:val="24"/>
          <w:lang w:eastAsia="en-GB"/>
        </w:rPr>
        <w:t xml:space="preserve"> od </w:t>
      </w:r>
      <w:r w:rsidRPr="00B11462">
        <w:rPr>
          <w:rFonts w:ascii="Calibri" w:eastAsia="Times New Roman" w:hAnsi="Calibri" w:cs="Calibri"/>
          <w:b/>
          <w:bCs/>
          <w:color w:val="262626" w:themeColor="text1" w:themeTint="D9"/>
          <w:sz w:val="24"/>
          <w:szCs w:val="24"/>
          <w:lang w:eastAsia="en-GB"/>
        </w:rPr>
        <w:t>01.</w:t>
      </w:r>
      <w:r>
        <w:rPr>
          <w:rFonts w:ascii="Calibri" w:eastAsia="Times New Roman" w:hAnsi="Calibri" w:cs="Calibri"/>
          <w:b/>
          <w:bCs/>
          <w:color w:val="262626" w:themeColor="text1" w:themeTint="D9"/>
          <w:sz w:val="24"/>
          <w:szCs w:val="24"/>
          <w:lang w:eastAsia="en-GB"/>
        </w:rPr>
        <w:t xml:space="preserve"> </w:t>
      </w:r>
      <w:r w:rsidRPr="00B11462">
        <w:rPr>
          <w:rFonts w:ascii="Calibri" w:eastAsia="Times New Roman" w:hAnsi="Calibri" w:cs="Calibri"/>
          <w:b/>
          <w:bCs/>
          <w:color w:val="262626" w:themeColor="text1" w:themeTint="D9"/>
          <w:sz w:val="24"/>
          <w:szCs w:val="24"/>
          <w:lang w:eastAsia="en-GB"/>
        </w:rPr>
        <w:t>januarja 2019 do 31.decembra 2019: 667,00 evrov</w:t>
      </w:r>
    </w:p>
    <w:p w14:paraId="472B03AA" w14:textId="0FA867F6"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color w:val="262626" w:themeColor="text1" w:themeTint="D9"/>
          <w:sz w:val="24"/>
          <w:szCs w:val="24"/>
          <w:lang w:eastAsia="en-GB"/>
        </w:rPr>
        <w:t>Višina minimalne bruto plače</w:t>
      </w:r>
      <w:r w:rsidRPr="00B11462">
        <w:rPr>
          <w:rFonts w:ascii="Calibri" w:eastAsia="Times New Roman" w:hAnsi="Calibri" w:cs="Calibri"/>
          <w:color w:val="262626" w:themeColor="text1" w:themeTint="D9"/>
          <w:sz w:val="24"/>
          <w:szCs w:val="24"/>
          <w:lang w:eastAsia="en-GB"/>
        </w:rPr>
        <w:t xml:space="preserve"> od </w:t>
      </w:r>
      <w:r w:rsidRPr="00B11462">
        <w:rPr>
          <w:rFonts w:ascii="Calibri" w:eastAsia="Times New Roman" w:hAnsi="Calibri" w:cs="Calibri"/>
          <w:b/>
          <w:bCs/>
          <w:color w:val="262626" w:themeColor="text1" w:themeTint="D9"/>
          <w:sz w:val="24"/>
          <w:szCs w:val="24"/>
          <w:lang w:eastAsia="en-GB"/>
        </w:rPr>
        <w:t>01. januarja 2020 do 31.</w:t>
      </w:r>
      <w:r>
        <w:rPr>
          <w:rFonts w:ascii="Calibri" w:eastAsia="Times New Roman" w:hAnsi="Calibri" w:cs="Calibri"/>
          <w:b/>
          <w:bCs/>
          <w:color w:val="262626" w:themeColor="text1" w:themeTint="D9"/>
          <w:sz w:val="24"/>
          <w:szCs w:val="24"/>
          <w:lang w:eastAsia="en-GB"/>
        </w:rPr>
        <w:t xml:space="preserve"> </w:t>
      </w:r>
      <w:r w:rsidRPr="00B11462">
        <w:rPr>
          <w:rFonts w:ascii="Calibri" w:eastAsia="Times New Roman" w:hAnsi="Calibri" w:cs="Calibri"/>
          <w:b/>
          <w:bCs/>
          <w:color w:val="262626" w:themeColor="text1" w:themeTint="D9"/>
          <w:sz w:val="24"/>
          <w:szCs w:val="24"/>
          <w:lang w:eastAsia="en-GB"/>
        </w:rPr>
        <w:t>decembra 2020: 700,00 evrov</w:t>
      </w:r>
    </w:p>
    <w:p w14:paraId="58385E88"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color w:val="262626" w:themeColor="text1" w:themeTint="D9"/>
          <w:sz w:val="24"/>
          <w:szCs w:val="24"/>
          <w:lang w:eastAsia="en-GB"/>
        </w:rPr>
        <w:t>Po letu 2021 naj bi se minimalna plača določala po posebni formuli, ki naj bi zagotavljala, da bo minimalna plača vsaj 20% višja od minimalnih življenjskih stroškov.</w:t>
      </w:r>
    </w:p>
    <w:p w14:paraId="058F7614"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color w:val="262626" w:themeColor="text1" w:themeTint="D9"/>
          <w:sz w:val="24"/>
          <w:szCs w:val="24"/>
          <w:lang w:eastAsia="en-GB"/>
        </w:rPr>
        <w:t>Definicija minimalne pokojninske osnove za obračun prispevkov za socialno varnost</w:t>
      </w:r>
    </w:p>
    <w:p w14:paraId="6BB19B9B"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color w:val="262626" w:themeColor="text1" w:themeTint="D9"/>
          <w:sz w:val="24"/>
          <w:szCs w:val="24"/>
          <w:lang w:eastAsia="en-GB"/>
        </w:rPr>
        <w:t>Najnižja osnova za obračun prispevkov za socialno varnost je določena v 144. členu </w:t>
      </w:r>
      <w:r w:rsidRPr="00B11462">
        <w:rPr>
          <w:rFonts w:ascii="Calibri" w:eastAsia="Times New Roman" w:hAnsi="Calibri" w:cs="Calibri"/>
          <w:color w:val="262626" w:themeColor="text1" w:themeTint="D9"/>
          <w:sz w:val="24"/>
          <w:szCs w:val="24"/>
          <w:u w:val="single"/>
          <w:lang w:eastAsia="en-GB"/>
        </w:rPr>
        <w:t>Zakona o pokojninskem in invalidskem zavarovanju</w:t>
      </w:r>
      <w:r w:rsidRPr="00B11462">
        <w:rPr>
          <w:rFonts w:ascii="Calibri" w:eastAsia="Times New Roman" w:hAnsi="Calibri" w:cs="Calibri"/>
          <w:color w:val="262626" w:themeColor="text1" w:themeTint="D9"/>
          <w:sz w:val="24"/>
          <w:szCs w:val="24"/>
          <w:lang w:eastAsia="en-GB"/>
        </w:rPr>
        <w:t> (ZPIZ-2).</w:t>
      </w:r>
    </w:p>
    <w:p w14:paraId="17AB67F2"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i/>
          <w:iCs/>
          <w:color w:val="262626" w:themeColor="text1" w:themeTint="D9"/>
          <w:sz w:val="24"/>
          <w:szCs w:val="24"/>
          <w:lang w:eastAsia="en-GB"/>
        </w:rPr>
        <w:t>»Zakon o pokojninskem in invalidskem zavarovanju (ZPIZ-2)</w:t>
      </w:r>
    </w:p>
    <w:p w14:paraId="25BF7247" w14:textId="77777777" w:rsidR="00B11462" w:rsidRPr="00B11462" w:rsidRDefault="00B11462" w:rsidP="00B11462">
      <w:pPr>
        <w:numPr>
          <w:ilvl w:val="0"/>
          <w:numId w:val="5"/>
        </w:numPr>
        <w:shd w:val="clear" w:color="auto" w:fill="FFFFFF"/>
        <w:spacing w:before="120" w:after="120"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i/>
          <w:iCs/>
          <w:color w:val="262626" w:themeColor="text1" w:themeTint="D9"/>
          <w:sz w:val="24"/>
          <w:szCs w:val="24"/>
          <w:lang w:eastAsia="en-GB"/>
        </w:rPr>
        <w:t>člen</w:t>
      </w:r>
    </w:p>
    <w:p w14:paraId="3C8FCC95"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i/>
          <w:iCs/>
          <w:color w:val="262626" w:themeColor="text1" w:themeTint="D9"/>
          <w:sz w:val="24"/>
          <w:szCs w:val="24"/>
          <w:lang w:eastAsia="en-GB"/>
        </w:rPr>
        <w:t>(osnove za osebe v delovnem razmerju)</w:t>
      </w:r>
    </w:p>
    <w:p w14:paraId="73A85235"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i/>
          <w:iCs/>
          <w:color w:val="262626" w:themeColor="text1" w:themeTint="D9"/>
          <w:sz w:val="24"/>
          <w:szCs w:val="24"/>
          <w:lang w:eastAsia="en-GB"/>
        </w:rPr>
        <w:t>(1) Osnova za plačilo prispevkov za zavarovance iz 14. člena tega zakona je plača oziroma nadomestilo plače ter vsi drugi prejemki na podlagi delovnega razmerja, vključno z bonitetami ter povračili stroškov v zvezi z delom, izplačanimi v denarju, bonih ali v naravi.</w:t>
      </w:r>
    </w:p>
    <w:p w14:paraId="1B66B28B"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i/>
          <w:iCs/>
          <w:color w:val="262626" w:themeColor="text1" w:themeTint="D9"/>
          <w:sz w:val="24"/>
          <w:szCs w:val="24"/>
          <w:lang w:eastAsia="en-GB"/>
        </w:rPr>
        <w:t>(2) Za zavarovance iz tretjega odstavka 14. člena tega zakona se za plačo iz prejšnjega odstavka šteje plača, ki bi bila prejeta za enako delo v Republiki Sloveniji.</w:t>
      </w:r>
    </w:p>
    <w:p w14:paraId="4DDC3891"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i/>
          <w:iCs/>
          <w:color w:val="262626" w:themeColor="text1" w:themeTint="D9"/>
          <w:sz w:val="24"/>
          <w:szCs w:val="24"/>
          <w:lang w:eastAsia="en-GB"/>
        </w:rPr>
        <w:t>(3) Ne glede na prvi odstavek tega člena se prispevki plačujejo od:</w:t>
      </w:r>
    </w:p>
    <w:p w14:paraId="1472E3C0"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i/>
          <w:iCs/>
          <w:color w:val="262626" w:themeColor="text1" w:themeTint="D9"/>
          <w:sz w:val="24"/>
          <w:szCs w:val="24"/>
          <w:lang w:eastAsia="en-GB"/>
        </w:rPr>
        <w:t>–        zneska jubilejne nagrade, odpravnine ob upokojitvi, solidarnostne pomoči, povračil stroškov, zneska bonitet in zneska odpravnine zaradi odpovedi pogodbe o zaposlitvi, od katerega se v skladu z zakonom, ki ureja dohodnino, plačuje dohodnina;</w:t>
      </w:r>
    </w:p>
    <w:p w14:paraId="169804C2"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i/>
          <w:iCs/>
          <w:color w:val="262626" w:themeColor="text1" w:themeTint="D9"/>
          <w:sz w:val="24"/>
          <w:szCs w:val="24"/>
          <w:lang w:eastAsia="en-GB"/>
        </w:rPr>
        <w:t>–        zneska premije dodatnega zavarovanja, ki jo plačuje delodajalec v korist delavca v skladu z 241. členom tega zakona, in od katerega se v skladu z zakonom, ki ureja dohodnino, plačuje dohodnina in</w:t>
      </w:r>
    </w:p>
    <w:p w14:paraId="60FB4F4E"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i/>
          <w:iCs/>
          <w:color w:val="262626" w:themeColor="text1" w:themeTint="D9"/>
          <w:sz w:val="24"/>
          <w:szCs w:val="24"/>
          <w:lang w:eastAsia="en-GB"/>
        </w:rPr>
        <w:t xml:space="preserve">–        zneska regresa za letni dopust, ki presega 70 % povprečne plače zaposlenih v Republiki Sloveniji za predpretekli mesec; če se regres izplača v dveh ali več delih, se ob </w:t>
      </w:r>
      <w:r w:rsidRPr="00B11462">
        <w:rPr>
          <w:rFonts w:ascii="Calibri" w:eastAsia="Times New Roman" w:hAnsi="Calibri" w:cs="Calibri"/>
          <w:b/>
          <w:bCs/>
          <w:i/>
          <w:iCs/>
          <w:color w:val="262626" w:themeColor="text1" w:themeTint="D9"/>
          <w:sz w:val="24"/>
          <w:szCs w:val="24"/>
          <w:lang w:eastAsia="en-GB"/>
        </w:rPr>
        <w:lastRenderedPageBreak/>
        <w:t>izplačilu naslednjega oziroma zadnjega dela regresa ugotovi celotna višina regresa in izvrši obračun prispevkov od posameznih delov regresa za letni dopust.</w:t>
      </w:r>
    </w:p>
    <w:p w14:paraId="241E5275"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i/>
          <w:iCs/>
          <w:color w:val="262626" w:themeColor="text1" w:themeTint="D9"/>
          <w:sz w:val="24"/>
          <w:szCs w:val="24"/>
          <w:lang w:eastAsia="en-GB"/>
        </w:rPr>
        <w:t>(4) Najnižja osnova za obračun prispevkov od plače in nadomestila plače je znesek 60 % zadnje znane povprečne letne plače zaposlenih v Republiki Sloveniji, preračunane na mesec.«</w:t>
      </w:r>
    </w:p>
    <w:p w14:paraId="3A4E144B"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color w:val="262626" w:themeColor="text1" w:themeTint="D9"/>
          <w:sz w:val="24"/>
          <w:szCs w:val="24"/>
          <w:lang w:eastAsia="en-GB"/>
        </w:rPr>
        <w:t> </w:t>
      </w:r>
    </w:p>
    <w:p w14:paraId="606D4727"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color w:val="262626" w:themeColor="text1" w:themeTint="D9"/>
          <w:sz w:val="24"/>
          <w:szCs w:val="24"/>
          <w:lang w:eastAsia="en-GB"/>
        </w:rPr>
        <w:t>V skladu z določbo 410. člena pa se bo osnova za obračun prispevkov postopno zviševala do leta 2021.</w:t>
      </w:r>
    </w:p>
    <w:p w14:paraId="5B4F8F10" w14:textId="77777777"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color w:val="262626" w:themeColor="text1" w:themeTint="D9"/>
          <w:sz w:val="24"/>
          <w:szCs w:val="24"/>
          <w:lang w:eastAsia="en-GB"/>
        </w:rPr>
        <w:t>V letu 2018 je tako znašala 54 odstotkov povprečne plače zaposlenih v RS, preračunane na mesec, kar znaša: 878,55 evro (višina povprečne bruto plače za leto 2017 znaša: 1.626,95€)</w:t>
      </w:r>
    </w:p>
    <w:p w14:paraId="1630483C" w14:textId="526D4123"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color w:val="262626" w:themeColor="text1" w:themeTint="D9"/>
          <w:sz w:val="24"/>
          <w:szCs w:val="24"/>
          <w:lang w:eastAsia="en-GB"/>
        </w:rPr>
        <w:t>V letu 2019 bo tako znašala 56 odstotkov povprečne letne plače zaposlenih v RS, preračunane na mesec, kar znaša: 911,09 evro za obdobje januar in februar 2019! Ob znani višini  povprečne plače za leto 2018 se ta znesek spremeni – predvidoma v mesecu marcu 2019!</w:t>
      </w:r>
    </w:p>
    <w:p w14:paraId="554FDD18" w14:textId="4468B81A"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color w:val="262626" w:themeColor="text1" w:themeTint="D9"/>
          <w:sz w:val="24"/>
          <w:szCs w:val="24"/>
          <w:lang w:eastAsia="en-GB"/>
        </w:rPr>
        <w:t>V letu 2020 bo tako znašala 58 odstotkov  povprečne letne plače zaposlenih v RS, preračunane na mesec.</w:t>
      </w:r>
    </w:p>
    <w:p w14:paraId="73E1BD81" w14:textId="006B95DD" w:rsidR="00B11462" w:rsidRPr="00B11462" w:rsidRDefault="00B11462" w:rsidP="00B11462">
      <w:pPr>
        <w:shd w:val="clear" w:color="auto" w:fill="FFFFFF"/>
        <w:spacing w:after="100" w:afterAutospacing="1" w:line="240" w:lineRule="auto"/>
        <w:rPr>
          <w:rFonts w:ascii="Calibri" w:eastAsia="Times New Roman" w:hAnsi="Calibri" w:cs="Calibri"/>
          <w:color w:val="262626" w:themeColor="text1" w:themeTint="D9"/>
          <w:sz w:val="24"/>
          <w:szCs w:val="24"/>
          <w:lang w:eastAsia="en-GB"/>
        </w:rPr>
      </w:pPr>
      <w:r w:rsidRPr="00B11462">
        <w:rPr>
          <w:rFonts w:ascii="Calibri" w:eastAsia="Times New Roman" w:hAnsi="Calibri" w:cs="Calibri"/>
          <w:b/>
          <w:bCs/>
          <w:color w:val="262626" w:themeColor="text1" w:themeTint="D9"/>
          <w:sz w:val="24"/>
          <w:szCs w:val="24"/>
          <w:lang w:eastAsia="en-GB"/>
        </w:rPr>
        <w:t>V letu 2021 bo tako znašala 60 odstotkov povprečne letne plače zaposlenih v RS, preračunane na mesec.</w:t>
      </w:r>
    </w:p>
    <w:p w14:paraId="23130750" w14:textId="4FE9FF50" w:rsidR="00B11462" w:rsidRDefault="00B11462" w:rsidP="001F2CF9">
      <w:pPr>
        <w:autoSpaceDE w:val="0"/>
        <w:autoSpaceDN w:val="0"/>
        <w:adjustRightInd w:val="0"/>
        <w:spacing w:after="0" w:line="240" w:lineRule="auto"/>
        <w:rPr>
          <w:rFonts w:ascii="Calibri" w:hAnsi="Calibri" w:cs="Calibri"/>
          <w:color w:val="262626" w:themeColor="text1" w:themeTint="D9"/>
          <w:sz w:val="24"/>
          <w:szCs w:val="24"/>
        </w:rPr>
      </w:pPr>
    </w:p>
    <w:p w14:paraId="5EF46FDC" w14:textId="627435EB"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1F4560E6" w14:textId="43A319F1"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632709D7" w14:textId="6BB16E65"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10E50B1C" w14:textId="3DE7F2BC"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0657EDAB" w14:textId="764564A7"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5F3348F6" w14:textId="4D82ED98"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32E1AD19" w14:textId="16BA597F"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06082692" w14:textId="01BC62D2"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3327B31C" w14:textId="150F0215"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7BCF9FFD" w14:textId="6739AE3C"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2ADE216B" w14:textId="26B4D5BF"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0278CBFE" w14:textId="6F368D50"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1AD81F31" w14:textId="70315F35"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311E6E3D" w14:textId="7777E8E8"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4E2F08D0" w14:textId="7D71E934"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160C6156" w14:textId="73FED404"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12188B00" w14:textId="5299480E"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5D6E1EBF" w14:textId="649E612C"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2B02C262" w14:textId="23E7E492"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12388D02" w14:textId="1E8642A5"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1FB78145" w14:textId="5DE6F8ED"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00E8732B" w14:textId="7096EEA4"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694E085B" w14:textId="71A37D52" w:rsidR="002C3C3E" w:rsidRDefault="002C3C3E" w:rsidP="001F2CF9">
      <w:pPr>
        <w:autoSpaceDE w:val="0"/>
        <w:autoSpaceDN w:val="0"/>
        <w:adjustRightInd w:val="0"/>
        <w:spacing w:after="0" w:line="240" w:lineRule="auto"/>
        <w:rPr>
          <w:rFonts w:ascii="Calibri" w:hAnsi="Calibri" w:cs="Calibri"/>
          <w:color w:val="262626" w:themeColor="text1" w:themeTint="D9"/>
          <w:sz w:val="24"/>
          <w:szCs w:val="24"/>
        </w:rPr>
      </w:pPr>
    </w:p>
    <w:p w14:paraId="280BB311" w14:textId="2B9FD0A6" w:rsidR="002C3C3E" w:rsidRDefault="002C3C3E" w:rsidP="001F2CF9">
      <w:pPr>
        <w:autoSpaceDE w:val="0"/>
        <w:autoSpaceDN w:val="0"/>
        <w:adjustRightInd w:val="0"/>
        <w:spacing w:after="0" w:line="240" w:lineRule="auto"/>
        <w:rPr>
          <w:rFonts w:ascii="Calibri" w:hAnsi="Calibri" w:cs="Calibri"/>
          <w:b/>
          <w:bCs/>
          <w:color w:val="262626" w:themeColor="text1" w:themeTint="D9"/>
          <w:sz w:val="24"/>
          <w:szCs w:val="24"/>
        </w:rPr>
      </w:pPr>
      <w:r w:rsidRPr="00784C7A">
        <w:rPr>
          <w:rFonts w:ascii="Calibri" w:hAnsi="Calibri" w:cs="Calibri"/>
          <w:b/>
          <w:bCs/>
          <w:color w:val="262626" w:themeColor="text1" w:themeTint="D9"/>
          <w:sz w:val="24"/>
          <w:szCs w:val="24"/>
        </w:rPr>
        <w:t xml:space="preserve">AKTUALNA PROBLEMATIKA PRI POSLOVANJU DRUŠTEV IN ZAVODOV, TER PRIPRAVA ZAKLJUČNEGA RAČUNA </w:t>
      </w:r>
    </w:p>
    <w:p w14:paraId="2D143038" w14:textId="7A8AABDB" w:rsidR="008E36AA" w:rsidRDefault="008E36AA" w:rsidP="001F2CF9">
      <w:pPr>
        <w:autoSpaceDE w:val="0"/>
        <w:autoSpaceDN w:val="0"/>
        <w:adjustRightInd w:val="0"/>
        <w:spacing w:after="0" w:line="240" w:lineRule="auto"/>
        <w:rPr>
          <w:rFonts w:ascii="Calibri" w:hAnsi="Calibri" w:cs="Calibri"/>
          <w:b/>
          <w:bCs/>
          <w:color w:val="262626" w:themeColor="text1" w:themeTint="D9"/>
          <w:sz w:val="24"/>
          <w:szCs w:val="24"/>
        </w:rPr>
      </w:pPr>
    </w:p>
    <w:p w14:paraId="34EFF6C2" w14:textId="74DA303D" w:rsidR="008E36AA" w:rsidRDefault="008E36AA" w:rsidP="001F2CF9">
      <w:pPr>
        <w:autoSpaceDE w:val="0"/>
        <w:autoSpaceDN w:val="0"/>
        <w:adjustRightInd w:val="0"/>
        <w:spacing w:after="0" w:line="240" w:lineRule="auto"/>
        <w:rPr>
          <w:rFonts w:ascii="Calibri" w:hAnsi="Calibri" w:cs="Calibri"/>
          <w:b/>
          <w:bCs/>
          <w:color w:val="262626" w:themeColor="text1" w:themeTint="D9"/>
          <w:sz w:val="24"/>
          <w:szCs w:val="24"/>
        </w:rPr>
      </w:pPr>
    </w:p>
    <w:p w14:paraId="558A0C97" w14:textId="732A965C" w:rsidR="00A74A7E" w:rsidRDefault="008E36AA" w:rsidP="001F2CF9">
      <w:pPr>
        <w:autoSpaceDE w:val="0"/>
        <w:autoSpaceDN w:val="0"/>
        <w:adjustRightInd w:val="0"/>
        <w:spacing w:after="0" w:line="240" w:lineRule="auto"/>
        <w:rPr>
          <w:rFonts w:ascii="Calibri" w:hAnsi="Calibri" w:cs="Calibri"/>
          <w:color w:val="262626" w:themeColor="text1" w:themeTint="D9"/>
          <w:sz w:val="24"/>
          <w:szCs w:val="24"/>
          <w:shd w:val="clear" w:color="auto" w:fill="FFFFFF"/>
        </w:rPr>
      </w:pPr>
      <w:r w:rsidRPr="008E36AA">
        <w:rPr>
          <w:rFonts w:ascii="Calibri" w:hAnsi="Calibri" w:cs="Calibri"/>
          <w:b/>
          <w:bCs/>
          <w:color w:val="262626" w:themeColor="text1" w:themeTint="D9"/>
          <w:sz w:val="24"/>
          <w:szCs w:val="24"/>
          <w:shd w:val="clear" w:color="auto" w:fill="FFFFFF"/>
        </w:rPr>
        <w:t xml:space="preserve">Društvo </w:t>
      </w:r>
      <w:r w:rsidRPr="008E36AA">
        <w:rPr>
          <w:rFonts w:ascii="Calibri" w:hAnsi="Calibri" w:cs="Calibri"/>
          <w:color w:val="262626" w:themeColor="text1" w:themeTint="D9"/>
          <w:sz w:val="24"/>
          <w:szCs w:val="24"/>
          <w:shd w:val="clear" w:color="auto" w:fill="FFFFFF"/>
        </w:rPr>
        <w:t xml:space="preserve">in </w:t>
      </w:r>
      <w:r w:rsidRPr="008E36AA">
        <w:rPr>
          <w:rFonts w:ascii="Calibri" w:hAnsi="Calibri" w:cs="Calibri"/>
          <w:b/>
          <w:bCs/>
          <w:color w:val="262626" w:themeColor="text1" w:themeTint="D9"/>
          <w:sz w:val="24"/>
          <w:szCs w:val="24"/>
          <w:shd w:val="clear" w:color="auto" w:fill="FFFFFF"/>
        </w:rPr>
        <w:t>zavod</w:t>
      </w:r>
      <w:r w:rsidRPr="008E36AA">
        <w:rPr>
          <w:rFonts w:ascii="Calibri" w:hAnsi="Calibri" w:cs="Calibri"/>
          <w:color w:val="262626" w:themeColor="text1" w:themeTint="D9"/>
          <w:sz w:val="24"/>
          <w:szCs w:val="24"/>
          <w:shd w:val="clear" w:color="auto" w:fill="FFFFFF"/>
        </w:rPr>
        <w:t xml:space="preserve"> sta organizacijski obliki, ki primarno služita opravljanju </w:t>
      </w:r>
      <w:r w:rsidRPr="008E36AA">
        <w:rPr>
          <w:rFonts w:ascii="Calibri" w:hAnsi="Calibri" w:cs="Calibri"/>
          <w:b/>
          <w:bCs/>
          <w:color w:val="262626" w:themeColor="text1" w:themeTint="D9"/>
          <w:sz w:val="24"/>
          <w:szCs w:val="24"/>
          <w:shd w:val="clear" w:color="auto" w:fill="FFFFFF"/>
        </w:rPr>
        <w:t>nepridobitne dejavnosti</w:t>
      </w:r>
      <w:r w:rsidRPr="008E36AA">
        <w:rPr>
          <w:rFonts w:ascii="Calibri" w:hAnsi="Calibri" w:cs="Calibri"/>
          <w:color w:val="262626" w:themeColor="text1" w:themeTint="D9"/>
          <w:sz w:val="24"/>
          <w:szCs w:val="24"/>
          <w:shd w:val="clear" w:color="auto" w:fill="FFFFFF"/>
        </w:rPr>
        <w:t xml:space="preserve">. </w:t>
      </w:r>
    </w:p>
    <w:p w14:paraId="43D7447A" w14:textId="77777777" w:rsidR="00A74A7E" w:rsidRDefault="00A74A7E" w:rsidP="001F2CF9">
      <w:pPr>
        <w:autoSpaceDE w:val="0"/>
        <w:autoSpaceDN w:val="0"/>
        <w:adjustRightInd w:val="0"/>
        <w:spacing w:after="0" w:line="240" w:lineRule="auto"/>
        <w:rPr>
          <w:rFonts w:ascii="Calibri" w:hAnsi="Calibri" w:cs="Calibri"/>
          <w:color w:val="262626" w:themeColor="text1" w:themeTint="D9"/>
          <w:sz w:val="24"/>
          <w:szCs w:val="24"/>
          <w:shd w:val="clear" w:color="auto" w:fill="FFFFFF"/>
        </w:rPr>
      </w:pPr>
    </w:p>
    <w:p w14:paraId="0DC3306B" w14:textId="77777777" w:rsidR="00A74A7E" w:rsidRDefault="008E36AA" w:rsidP="001F2CF9">
      <w:pPr>
        <w:autoSpaceDE w:val="0"/>
        <w:autoSpaceDN w:val="0"/>
        <w:adjustRightInd w:val="0"/>
        <w:spacing w:after="0" w:line="240" w:lineRule="auto"/>
        <w:rPr>
          <w:rFonts w:ascii="Calibri" w:hAnsi="Calibri" w:cs="Calibri"/>
          <w:color w:val="262626" w:themeColor="text1" w:themeTint="D9"/>
          <w:sz w:val="24"/>
          <w:szCs w:val="24"/>
          <w:shd w:val="clear" w:color="auto" w:fill="FFFFFF"/>
        </w:rPr>
      </w:pPr>
      <w:r w:rsidRPr="008E36AA">
        <w:rPr>
          <w:rFonts w:ascii="Calibri" w:hAnsi="Calibri" w:cs="Calibri"/>
          <w:color w:val="262626" w:themeColor="text1" w:themeTint="D9"/>
          <w:sz w:val="24"/>
          <w:szCs w:val="24"/>
          <w:shd w:val="clear" w:color="auto" w:fill="FFFFFF"/>
        </w:rPr>
        <w:t>Organizacijska oblika društva je urejena v Zakonu o društvih, Zakon o zavodih pa ureja področje zavodov</w:t>
      </w:r>
      <w:r w:rsidR="00A74A7E">
        <w:rPr>
          <w:rFonts w:ascii="Calibri" w:hAnsi="Calibri" w:cs="Calibri"/>
          <w:color w:val="262626" w:themeColor="text1" w:themeTint="D9"/>
          <w:sz w:val="24"/>
          <w:szCs w:val="24"/>
          <w:shd w:val="clear" w:color="auto" w:fill="FFFFFF"/>
        </w:rPr>
        <w:t>. Zavode deli na:</w:t>
      </w:r>
    </w:p>
    <w:p w14:paraId="47CB501E" w14:textId="77777777" w:rsidR="00A74A7E" w:rsidRPr="00A74A7E" w:rsidRDefault="00A74A7E" w:rsidP="00A74A7E">
      <w:pPr>
        <w:pStyle w:val="Odstavekseznama"/>
        <w:numPr>
          <w:ilvl w:val="0"/>
          <w:numId w:val="8"/>
        </w:numPr>
        <w:autoSpaceDE w:val="0"/>
        <w:autoSpaceDN w:val="0"/>
        <w:adjustRightInd w:val="0"/>
        <w:spacing w:after="0" w:line="240" w:lineRule="auto"/>
        <w:rPr>
          <w:rFonts w:ascii="Calibri" w:hAnsi="Calibri" w:cs="Calibri"/>
          <w:b/>
          <w:bCs/>
          <w:color w:val="262626" w:themeColor="text1" w:themeTint="D9"/>
          <w:sz w:val="24"/>
          <w:szCs w:val="24"/>
        </w:rPr>
      </w:pPr>
      <w:r>
        <w:rPr>
          <w:rFonts w:ascii="Calibri" w:hAnsi="Calibri" w:cs="Calibri"/>
          <w:color w:val="262626" w:themeColor="text1" w:themeTint="D9"/>
          <w:sz w:val="24"/>
          <w:szCs w:val="24"/>
          <w:shd w:val="clear" w:color="auto" w:fill="FFFFFF"/>
        </w:rPr>
        <w:t xml:space="preserve">javne </w:t>
      </w:r>
    </w:p>
    <w:p w14:paraId="7179841A" w14:textId="57F528C9" w:rsidR="008E36AA" w:rsidRPr="00A74A7E" w:rsidRDefault="00A74A7E" w:rsidP="00A74A7E">
      <w:pPr>
        <w:pStyle w:val="Odstavekseznama"/>
        <w:numPr>
          <w:ilvl w:val="0"/>
          <w:numId w:val="8"/>
        </w:numPr>
        <w:autoSpaceDE w:val="0"/>
        <w:autoSpaceDN w:val="0"/>
        <w:adjustRightInd w:val="0"/>
        <w:spacing w:after="0" w:line="240" w:lineRule="auto"/>
        <w:rPr>
          <w:rFonts w:ascii="Calibri" w:hAnsi="Calibri" w:cs="Calibri"/>
          <w:b/>
          <w:bCs/>
          <w:color w:val="262626" w:themeColor="text1" w:themeTint="D9"/>
          <w:sz w:val="24"/>
          <w:szCs w:val="24"/>
        </w:rPr>
      </w:pPr>
      <w:r>
        <w:rPr>
          <w:rFonts w:ascii="Calibri" w:hAnsi="Calibri" w:cs="Calibri"/>
          <w:color w:val="262626" w:themeColor="text1" w:themeTint="D9"/>
          <w:sz w:val="24"/>
          <w:szCs w:val="24"/>
          <w:shd w:val="clear" w:color="auto" w:fill="FFFFFF"/>
        </w:rPr>
        <w:t xml:space="preserve">zasebne </w:t>
      </w:r>
    </w:p>
    <w:p w14:paraId="59F20631" w14:textId="34E47AC4" w:rsidR="002C3C3E" w:rsidRPr="00784C7A" w:rsidRDefault="002C3C3E" w:rsidP="001F2CF9">
      <w:pPr>
        <w:autoSpaceDE w:val="0"/>
        <w:autoSpaceDN w:val="0"/>
        <w:adjustRightInd w:val="0"/>
        <w:spacing w:after="0" w:line="240" w:lineRule="auto"/>
        <w:rPr>
          <w:rFonts w:ascii="Calibri" w:hAnsi="Calibri" w:cs="Calibri"/>
          <w:b/>
          <w:bCs/>
          <w:color w:val="262626" w:themeColor="text1" w:themeTint="D9"/>
          <w:sz w:val="24"/>
          <w:szCs w:val="24"/>
        </w:rPr>
      </w:pPr>
    </w:p>
    <w:p w14:paraId="51D02308" w14:textId="1EEB0352" w:rsidR="00A74A7E" w:rsidRDefault="00A74A7E" w:rsidP="002C3C3E">
      <w:pPr>
        <w:shd w:val="clear" w:color="auto" w:fill="FFFFFF"/>
        <w:spacing w:after="300" w:line="384" w:lineRule="atLeast"/>
        <w:textAlignment w:val="baseline"/>
        <w:rPr>
          <w:rFonts w:ascii="Calibri" w:eastAsia="Times New Roman" w:hAnsi="Calibri" w:cs="Calibri"/>
          <w:b/>
          <w:bCs/>
          <w:i/>
          <w:iCs/>
          <w:color w:val="3D3D3D"/>
          <w:sz w:val="24"/>
          <w:szCs w:val="24"/>
          <w:u w:val="single"/>
          <w:lang w:eastAsia="en-GB"/>
        </w:rPr>
      </w:pPr>
      <w:r>
        <w:rPr>
          <w:rFonts w:ascii="Calibri" w:eastAsia="Times New Roman" w:hAnsi="Calibri" w:cs="Calibri"/>
          <w:b/>
          <w:bCs/>
          <w:i/>
          <w:iCs/>
          <w:color w:val="3D3D3D"/>
          <w:sz w:val="24"/>
          <w:szCs w:val="24"/>
          <w:u w:val="single"/>
          <w:lang w:eastAsia="en-GB"/>
        </w:rPr>
        <w:t xml:space="preserve">DRUŠTVO </w:t>
      </w:r>
    </w:p>
    <w:p w14:paraId="15D59392" w14:textId="45F7E319" w:rsidR="00784C7A" w:rsidRPr="00784C7A" w:rsidRDefault="00784C7A" w:rsidP="002C3C3E">
      <w:pPr>
        <w:shd w:val="clear" w:color="auto" w:fill="FFFFFF"/>
        <w:spacing w:after="300" w:line="384" w:lineRule="atLeast"/>
        <w:textAlignment w:val="baseline"/>
        <w:rPr>
          <w:rFonts w:ascii="Calibri" w:eastAsia="Times New Roman" w:hAnsi="Calibri" w:cs="Calibri"/>
          <w:b/>
          <w:bCs/>
          <w:i/>
          <w:iCs/>
          <w:color w:val="3D3D3D"/>
          <w:sz w:val="24"/>
          <w:szCs w:val="24"/>
          <w:u w:val="single"/>
          <w:lang w:eastAsia="en-GB"/>
        </w:rPr>
      </w:pPr>
      <w:r w:rsidRPr="00784C7A">
        <w:rPr>
          <w:rFonts w:ascii="Calibri" w:eastAsia="Times New Roman" w:hAnsi="Calibri" w:cs="Calibri"/>
          <w:b/>
          <w:bCs/>
          <w:i/>
          <w:iCs/>
          <w:color w:val="3D3D3D"/>
          <w:sz w:val="24"/>
          <w:szCs w:val="24"/>
          <w:u w:val="single"/>
          <w:lang w:eastAsia="en-GB"/>
        </w:rPr>
        <w:t xml:space="preserve">Kaj je društvo, kdo ga lahko ustanovi? </w:t>
      </w:r>
    </w:p>
    <w:p w14:paraId="17204F13" w14:textId="77777777" w:rsidR="00784C7A" w:rsidRDefault="002C3C3E" w:rsidP="00784C7A">
      <w:pPr>
        <w:shd w:val="clear" w:color="auto" w:fill="FFFFFF"/>
        <w:spacing w:after="300" w:line="384" w:lineRule="atLeast"/>
        <w:textAlignment w:val="baseline"/>
        <w:rPr>
          <w:rFonts w:ascii="Calibri" w:eastAsia="Times New Roman" w:hAnsi="Calibri" w:cs="Calibri"/>
          <w:color w:val="262626" w:themeColor="text1" w:themeTint="D9"/>
          <w:sz w:val="24"/>
          <w:szCs w:val="24"/>
          <w:lang w:eastAsia="en-GB"/>
        </w:rPr>
      </w:pPr>
      <w:r w:rsidRPr="002C3C3E">
        <w:rPr>
          <w:rFonts w:ascii="Calibri" w:eastAsia="Times New Roman" w:hAnsi="Calibri" w:cs="Calibri"/>
          <w:color w:val="262626" w:themeColor="text1" w:themeTint="D9"/>
          <w:sz w:val="24"/>
          <w:szCs w:val="24"/>
          <w:lang w:eastAsia="en-GB"/>
        </w:rPr>
        <w:t>Društvo je samostojno in nepridobitno združenje, čigar namen je uresničevanje zastavljenih interesov. Društvo je pravna oseba zasebnega prava. Pravno osebnost pridobi z vpisom v register društev. Za registracijo je pristojna upravna enota, na območju katere je sedež društva. Upravna enota o zahtevi za registracijo društva odločiti v roku 30 dni od njenega prejema.</w:t>
      </w:r>
      <w:r w:rsidR="00784C7A">
        <w:rPr>
          <w:rFonts w:ascii="Calibri" w:eastAsia="Times New Roman" w:hAnsi="Calibri" w:cs="Calibri"/>
          <w:color w:val="262626" w:themeColor="text1" w:themeTint="D9"/>
          <w:sz w:val="24"/>
          <w:szCs w:val="24"/>
          <w:lang w:eastAsia="en-GB"/>
        </w:rPr>
        <w:t xml:space="preserve"> </w:t>
      </w:r>
    </w:p>
    <w:p w14:paraId="0BAC8D6A" w14:textId="08BEB487" w:rsidR="002C3C3E" w:rsidRPr="002C3C3E" w:rsidRDefault="002C3C3E" w:rsidP="00784C7A">
      <w:pPr>
        <w:shd w:val="clear" w:color="auto" w:fill="FFFFFF"/>
        <w:spacing w:after="300" w:line="384" w:lineRule="atLeast"/>
        <w:textAlignment w:val="baseline"/>
        <w:rPr>
          <w:rFonts w:ascii="Calibri" w:eastAsia="Times New Roman" w:hAnsi="Calibri" w:cs="Calibri"/>
          <w:color w:val="262626" w:themeColor="text1" w:themeTint="D9"/>
          <w:sz w:val="24"/>
          <w:szCs w:val="24"/>
          <w:lang w:eastAsia="en-GB"/>
        </w:rPr>
      </w:pPr>
      <w:r w:rsidRPr="002C3C3E">
        <w:rPr>
          <w:rFonts w:ascii="Calibri" w:eastAsia="Times New Roman" w:hAnsi="Calibri" w:cs="Calibri"/>
          <w:color w:val="262626" w:themeColor="text1" w:themeTint="D9"/>
          <w:sz w:val="24"/>
          <w:szCs w:val="24"/>
          <w:lang w:eastAsia="en-GB"/>
        </w:rPr>
        <w:t>Društvo lahko ustanovijo najmanj tri poslovno sposobne fizične osebe oziroma pravne osebe. Kljub temu pa gospodarske družbe ne morejo ustanoviti društva, ki ima v temeljnem aktu določeno dejavnost, ki jo gospodarska družba opravlja kot svojo dejavnost.</w:t>
      </w:r>
    </w:p>
    <w:p w14:paraId="75B9CD8F" w14:textId="66F60FE0" w:rsidR="002C3C3E" w:rsidRPr="002C3C3E" w:rsidRDefault="002C3C3E" w:rsidP="002C3C3E">
      <w:pPr>
        <w:shd w:val="clear" w:color="auto" w:fill="FFFFFF"/>
        <w:spacing w:after="300" w:line="384" w:lineRule="atLeast"/>
        <w:textAlignment w:val="baseline"/>
        <w:rPr>
          <w:rFonts w:ascii="Calibri" w:eastAsia="Times New Roman" w:hAnsi="Calibri" w:cs="Calibri"/>
          <w:color w:val="262626" w:themeColor="text1" w:themeTint="D9"/>
          <w:sz w:val="24"/>
          <w:szCs w:val="24"/>
          <w:lang w:eastAsia="en-GB"/>
        </w:rPr>
      </w:pPr>
      <w:r w:rsidRPr="002C3C3E">
        <w:rPr>
          <w:rFonts w:ascii="Calibri" w:eastAsia="Times New Roman" w:hAnsi="Calibri" w:cs="Calibri"/>
          <w:color w:val="262626" w:themeColor="text1" w:themeTint="D9"/>
          <w:sz w:val="24"/>
          <w:szCs w:val="24"/>
          <w:lang w:eastAsia="en-GB"/>
        </w:rPr>
        <w:t>V Zakonu o društvih je jasno določeno, da namen ustanovitve in delovanja društva ni pridobivanje dobička. Ter da presežke prihodkov nad odhodki iz vseh dejavnosti in drugih virov društvo daje za uresničevanje svojega namena in ciljev in jih ne deli</w:t>
      </w:r>
      <w:r w:rsidR="00784C7A" w:rsidRPr="00784C7A">
        <w:rPr>
          <w:rFonts w:ascii="Calibri" w:eastAsia="Times New Roman" w:hAnsi="Calibri" w:cs="Calibri"/>
          <w:color w:val="262626" w:themeColor="text1" w:themeTint="D9"/>
          <w:sz w:val="24"/>
          <w:szCs w:val="24"/>
          <w:lang w:eastAsia="en-GB"/>
        </w:rPr>
        <w:t xml:space="preserve"> </w:t>
      </w:r>
      <w:r w:rsidR="00784C7A" w:rsidRPr="00784C7A">
        <w:rPr>
          <w:rFonts w:ascii="Calibri" w:hAnsi="Calibri" w:cs="Calibri"/>
          <w:color w:val="262626" w:themeColor="text1" w:themeTint="D9"/>
          <w:sz w:val="24"/>
          <w:szCs w:val="24"/>
          <w:shd w:val="clear" w:color="auto" w:fill="FFFFFF"/>
        </w:rPr>
        <w:t>med člane.</w:t>
      </w:r>
    </w:p>
    <w:p w14:paraId="298A9785" w14:textId="77777777" w:rsidR="00784C7A" w:rsidRPr="00784C7A" w:rsidRDefault="00784C7A" w:rsidP="00784C7A">
      <w:pPr>
        <w:shd w:val="clear" w:color="auto" w:fill="FFFFFF"/>
        <w:spacing w:after="180" w:line="410" w:lineRule="atLeast"/>
        <w:textAlignment w:val="baseline"/>
        <w:outlineLvl w:val="1"/>
        <w:rPr>
          <w:rFonts w:ascii="Calibri" w:eastAsia="Times New Roman" w:hAnsi="Calibri" w:cs="Calibri"/>
          <w:b/>
          <w:bCs/>
          <w:i/>
          <w:iCs/>
          <w:color w:val="262626" w:themeColor="text1" w:themeTint="D9"/>
          <w:sz w:val="24"/>
          <w:szCs w:val="24"/>
          <w:u w:val="single"/>
          <w:lang w:eastAsia="en-GB"/>
        </w:rPr>
      </w:pPr>
      <w:r w:rsidRPr="00784C7A">
        <w:rPr>
          <w:rFonts w:ascii="Calibri" w:eastAsia="Times New Roman" w:hAnsi="Calibri" w:cs="Calibri"/>
          <w:b/>
          <w:bCs/>
          <w:i/>
          <w:iCs/>
          <w:color w:val="262626" w:themeColor="text1" w:themeTint="D9"/>
          <w:sz w:val="24"/>
          <w:szCs w:val="24"/>
          <w:u w:val="single"/>
          <w:lang w:eastAsia="en-GB"/>
        </w:rPr>
        <w:t>Kako mora društvo voditi poslovne knjige?</w:t>
      </w:r>
    </w:p>
    <w:p w14:paraId="44E3997D" w14:textId="6A8437E2" w:rsidR="00784C7A" w:rsidRDefault="00784C7A" w:rsidP="00784C7A">
      <w:pPr>
        <w:shd w:val="clear" w:color="auto" w:fill="FFFFFF"/>
        <w:spacing w:after="0" w:line="384" w:lineRule="atLeast"/>
        <w:textAlignment w:val="baseline"/>
        <w:rPr>
          <w:rFonts w:ascii="Calibri" w:eastAsia="Times New Roman" w:hAnsi="Calibri" w:cs="Calibri"/>
          <w:color w:val="262626" w:themeColor="text1" w:themeTint="D9"/>
          <w:sz w:val="24"/>
          <w:szCs w:val="24"/>
          <w:lang w:eastAsia="en-GB"/>
        </w:rPr>
      </w:pPr>
      <w:r w:rsidRPr="00784C7A">
        <w:rPr>
          <w:rFonts w:ascii="Calibri" w:eastAsia="Times New Roman" w:hAnsi="Calibri" w:cs="Calibri"/>
          <w:color w:val="262626" w:themeColor="text1" w:themeTint="D9"/>
          <w:sz w:val="24"/>
          <w:szCs w:val="24"/>
          <w:lang w:eastAsia="en-GB"/>
        </w:rPr>
        <w:t>Splošno pravilo je (26. člen Zakona o društvih), da društvo poslovne knjige vodi po sistemu </w:t>
      </w:r>
      <w:hyperlink r:id="rId11" w:tooltip="Dvostavno knjigovodstvo za podjetja" w:history="1">
        <w:r w:rsidRPr="00784C7A">
          <w:rPr>
            <w:rFonts w:ascii="Calibri" w:eastAsia="Times New Roman" w:hAnsi="Calibri" w:cs="Calibri"/>
            <w:b/>
            <w:bCs/>
            <w:color w:val="262626" w:themeColor="text1" w:themeTint="D9"/>
            <w:sz w:val="24"/>
            <w:szCs w:val="24"/>
            <w:bdr w:val="none" w:sz="0" w:space="0" w:color="auto" w:frame="1"/>
            <w:lang w:eastAsia="en-GB"/>
          </w:rPr>
          <w:t>dvostavnega knjigovodstva</w:t>
        </w:r>
      </w:hyperlink>
      <w:r w:rsidRPr="00784C7A">
        <w:rPr>
          <w:rFonts w:ascii="Calibri" w:eastAsia="Times New Roman" w:hAnsi="Calibri" w:cs="Calibri"/>
          <w:color w:val="262626" w:themeColor="text1" w:themeTint="D9"/>
          <w:sz w:val="24"/>
          <w:szCs w:val="24"/>
          <w:lang w:eastAsia="en-GB"/>
        </w:rPr>
        <w:t>. Kljub temu pa zakonodaja dopušča, da ob izpolnjevanju določenih pogojev, društvo izbere </w:t>
      </w:r>
      <w:hyperlink r:id="rId12" w:tooltip="Enostavno knjigovodstvo za podjetnike" w:history="1">
        <w:r w:rsidRPr="00784C7A">
          <w:rPr>
            <w:rFonts w:ascii="Calibri" w:eastAsia="Times New Roman" w:hAnsi="Calibri" w:cs="Calibri"/>
            <w:b/>
            <w:bCs/>
            <w:color w:val="262626" w:themeColor="text1" w:themeTint="D9"/>
            <w:sz w:val="24"/>
            <w:szCs w:val="24"/>
            <w:u w:val="single"/>
            <w:bdr w:val="none" w:sz="0" w:space="0" w:color="auto" w:frame="1"/>
            <w:lang w:eastAsia="en-GB"/>
          </w:rPr>
          <w:t>enostavno knjigovodstvo</w:t>
        </w:r>
      </w:hyperlink>
      <w:r w:rsidRPr="00784C7A">
        <w:rPr>
          <w:rFonts w:ascii="Calibri" w:eastAsia="Times New Roman" w:hAnsi="Calibri" w:cs="Calibri"/>
          <w:color w:val="262626" w:themeColor="text1" w:themeTint="D9"/>
          <w:sz w:val="24"/>
          <w:szCs w:val="24"/>
          <w:lang w:eastAsia="en-GB"/>
        </w:rPr>
        <w:t>. </w:t>
      </w:r>
    </w:p>
    <w:p w14:paraId="7376119D" w14:textId="77777777" w:rsidR="00784C7A" w:rsidRPr="00784C7A" w:rsidRDefault="00784C7A" w:rsidP="00784C7A">
      <w:pPr>
        <w:shd w:val="clear" w:color="auto" w:fill="FFFFFF"/>
        <w:spacing w:after="300" w:line="384" w:lineRule="atLeast"/>
        <w:textAlignment w:val="baseline"/>
        <w:rPr>
          <w:rFonts w:ascii="Calibri" w:eastAsia="Times New Roman" w:hAnsi="Calibri" w:cs="Calibri"/>
          <w:color w:val="3D3D3D"/>
          <w:sz w:val="24"/>
          <w:szCs w:val="24"/>
          <w:lang w:eastAsia="en-GB"/>
        </w:rPr>
      </w:pPr>
      <w:r w:rsidRPr="00784C7A">
        <w:rPr>
          <w:rFonts w:ascii="Calibri" w:eastAsia="Times New Roman" w:hAnsi="Calibri" w:cs="Calibri"/>
          <w:color w:val="3D3D3D"/>
          <w:sz w:val="24"/>
          <w:szCs w:val="24"/>
          <w:lang w:eastAsia="en-GB"/>
        </w:rPr>
        <w:t>Društvo mora, v kolikor se odloči za enostavno knjigovodstvo, to določiti s temeljnim aktom oziroma drugim posebnim aktom. Enostavno knjigovodstvo lahko izbere, če izpolnjuje vsaj dve izmed naslednjih meril:</w:t>
      </w:r>
    </w:p>
    <w:p w14:paraId="138EA52E" w14:textId="77777777" w:rsidR="00784C7A" w:rsidRPr="00784C7A" w:rsidRDefault="00784C7A" w:rsidP="00784C7A">
      <w:pPr>
        <w:numPr>
          <w:ilvl w:val="0"/>
          <w:numId w:val="6"/>
        </w:numPr>
        <w:shd w:val="clear" w:color="auto" w:fill="FFFFFF"/>
        <w:spacing w:after="120" w:line="384" w:lineRule="atLeast"/>
        <w:ind w:left="630"/>
        <w:textAlignment w:val="baseline"/>
        <w:rPr>
          <w:rFonts w:ascii="Calibri" w:eastAsia="Times New Roman" w:hAnsi="Calibri" w:cs="Calibri"/>
          <w:color w:val="3D3D3D"/>
          <w:sz w:val="24"/>
          <w:szCs w:val="24"/>
          <w:lang w:eastAsia="en-GB"/>
        </w:rPr>
      </w:pPr>
      <w:r w:rsidRPr="00784C7A">
        <w:rPr>
          <w:rFonts w:ascii="Calibri" w:eastAsia="Times New Roman" w:hAnsi="Calibri" w:cs="Calibri"/>
          <w:color w:val="3D3D3D"/>
          <w:sz w:val="24"/>
          <w:szCs w:val="24"/>
          <w:lang w:eastAsia="en-GB"/>
        </w:rPr>
        <w:lastRenderedPageBreak/>
        <w:t>da povprečno število redno zaposlenih preteklega poslovnega leta ne presega dva;</w:t>
      </w:r>
    </w:p>
    <w:p w14:paraId="626393F9" w14:textId="77777777" w:rsidR="00784C7A" w:rsidRPr="00784C7A" w:rsidRDefault="00784C7A" w:rsidP="00784C7A">
      <w:pPr>
        <w:numPr>
          <w:ilvl w:val="0"/>
          <w:numId w:val="6"/>
        </w:numPr>
        <w:shd w:val="clear" w:color="auto" w:fill="FFFFFF"/>
        <w:spacing w:after="120" w:line="384" w:lineRule="atLeast"/>
        <w:ind w:left="630"/>
        <w:textAlignment w:val="baseline"/>
        <w:rPr>
          <w:rFonts w:ascii="Calibri" w:eastAsia="Times New Roman" w:hAnsi="Calibri" w:cs="Calibri"/>
          <w:color w:val="3D3D3D"/>
          <w:sz w:val="24"/>
          <w:szCs w:val="24"/>
          <w:lang w:eastAsia="en-GB"/>
        </w:rPr>
      </w:pPr>
      <w:r w:rsidRPr="00784C7A">
        <w:rPr>
          <w:rFonts w:ascii="Calibri" w:eastAsia="Times New Roman" w:hAnsi="Calibri" w:cs="Calibri"/>
          <w:color w:val="3D3D3D"/>
          <w:sz w:val="24"/>
          <w:szCs w:val="24"/>
          <w:lang w:eastAsia="en-GB"/>
        </w:rPr>
        <w:t>da letni prihodki preteklega poslovnega leta ne presegajo 30.000 evrov;</w:t>
      </w:r>
    </w:p>
    <w:p w14:paraId="2130B57D" w14:textId="77777777" w:rsidR="00784C7A" w:rsidRPr="00784C7A" w:rsidRDefault="00784C7A" w:rsidP="00784C7A">
      <w:pPr>
        <w:numPr>
          <w:ilvl w:val="0"/>
          <w:numId w:val="6"/>
        </w:numPr>
        <w:shd w:val="clear" w:color="auto" w:fill="FFFFFF"/>
        <w:spacing w:after="120" w:line="384" w:lineRule="atLeast"/>
        <w:ind w:left="630"/>
        <w:textAlignment w:val="baseline"/>
        <w:rPr>
          <w:rFonts w:ascii="Calibri" w:eastAsia="Times New Roman" w:hAnsi="Calibri" w:cs="Calibri"/>
          <w:color w:val="3D3D3D"/>
          <w:sz w:val="24"/>
          <w:szCs w:val="24"/>
          <w:lang w:eastAsia="en-GB"/>
        </w:rPr>
      </w:pPr>
      <w:r w:rsidRPr="00784C7A">
        <w:rPr>
          <w:rFonts w:ascii="Calibri" w:eastAsia="Times New Roman" w:hAnsi="Calibri" w:cs="Calibri"/>
          <w:color w:val="3D3D3D"/>
          <w:sz w:val="24"/>
          <w:szCs w:val="24"/>
          <w:lang w:eastAsia="en-GB"/>
        </w:rPr>
        <w:t>da povprečna vrednost sredstev (aktive) na začetku poslovnega leta ne presega 50.000 evrov.</w:t>
      </w:r>
    </w:p>
    <w:p w14:paraId="56C513D4" w14:textId="77777777" w:rsidR="00784C7A" w:rsidRPr="00784C7A" w:rsidRDefault="00784C7A" w:rsidP="00784C7A">
      <w:pPr>
        <w:shd w:val="clear" w:color="auto" w:fill="FFFFFF"/>
        <w:spacing w:after="0" w:line="384" w:lineRule="atLeast"/>
        <w:textAlignment w:val="baseline"/>
        <w:rPr>
          <w:rFonts w:ascii="Calibri" w:eastAsia="Times New Roman" w:hAnsi="Calibri" w:cs="Calibri"/>
          <w:color w:val="262626" w:themeColor="text1" w:themeTint="D9"/>
          <w:sz w:val="24"/>
          <w:szCs w:val="24"/>
          <w:lang w:eastAsia="en-GB"/>
        </w:rPr>
      </w:pPr>
    </w:p>
    <w:p w14:paraId="1152DF26" w14:textId="2550374B" w:rsidR="00784C7A" w:rsidRPr="00784C7A" w:rsidRDefault="00784C7A" w:rsidP="00784C7A">
      <w:pPr>
        <w:shd w:val="clear" w:color="auto" w:fill="FFFFFF"/>
        <w:spacing w:after="180" w:line="410" w:lineRule="atLeast"/>
        <w:textAlignment w:val="baseline"/>
        <w:outlineLvl w:val="1"/>
        <w:rPr>
          <w:rFonts w:ascii="Calibri" w:eastAsia="Times New Roman" w:hAnsi="Calibri" w:cs="Calibri"/>
          <w:b/>
          <w:bCs/>
          <w:i/>
          <w:iCs/>
          <w:color w:val="292929"/>
          <w:sz w:val="24"/>
          <w:szCs w:val="24"/>
          <w:u w:val="single"/>
          <w:lang w:eastAsia="en-GB"/>
        </w:rPr>
      </w:pPr>
      <w:r w:rsidRPr="00784C7A">
        <w:rPr>
          <w:rFonts w:ascii="Calibri" w:eastAsia="Times New Roman" w:hAnsi="Calibri" w:cs="Calibri"/>
          <w:b/>
          <w:bCs/>
          <w:i/>
          <w:iCs/>
          <w:color w:val="292929"/>
          <w:sz w:val="24"/>
          <w:szCs w:val="24"/>
          <w:u w:val="single"/>
          <w:lang w:eastAsia="en-GB"/>
        </w:rPr>
        <w:t>Možnost za društva, ki ne opravljajo pridobitne dejavnosti</w:t>
      </w:r>
    </w:p>
    <w:p w14:paraId="33477ADD" w14:textId="77777777" w:rsidR="00784C7A" w:rsidRPr="00784C7A" w:rsidRDefault="00784C7A" w:rsidP="00784C7A">
      <w:pPr>
        <w:shd w:val="clear" w:color="auto" w:fill="FFFFFF"/>
        <w:spacing w:after="300" w:line="384" w:lineRule="atLeast"/>
        <w:textAlignment w:val="baseline"/>
        <w:rPr>
          <w:rFonts w:ascii="Calibri" w:eastAsia="Times New Roman" w:hAnsi="Calibri" w:cs="Calibri"/>
          <w:color w:val="3D3D3D"/>
          <w:sz w:val="24"/>
          <w:szCs w:val="24"/>
          <w:lang w:eastAsia="en-GB"/>
        </w:rPr>
      </w:pPr>
      <w:r w:rsidRPr="00784C7A">
        <w:rPr>
          <w:rFonts w:ascii="Calibri" w:eastAsia="Times New Roman" w:hAnsi="Calibri" w:cs="Calibri"/>
          <w:color w:val="3D3D3D"/>
          <w:sz w:val="24"/>
          <w:szCs w:val="24"/>
          <w:lang w:eastAsia="en-GB"/>
        </w:rPr>
        <w:t>Društvo, ki ne opravlja pridobitne dejavnosti, pa ima na voljo še eno možnost. Če so njegovi prihodki iz preteklega poslovnega leta manjši od 10.000 evrov, lahko vodil le knjigo prejemkov in izdatkov (t. i. blagajniški dnevnik). Preostale podatke za letno poročilo, ki ga morajo oddati vsa društva, pa zagotovi z letnim popisom in ocenitvijo. </w:t>
      </w:r>
    </w:p>
    <w:p w14:paraId="7770A334" w14:textId="45BB2E4F" w:rsidR="002C3C3E" w:rsidRDefault="00784C7A"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r w:rsidRPr="00784C7A">
        <w:rPr>
          <w:rFonts w:ascii="Calibri" w:hAnsi="Calibri" w:cs="Calibri"/>
          <w:b/>
          <w:bCs/>
          <w:i/>
          <w:iCs/>
          <w:color w:val="262626" w:themeColor="text1" w:themeTint="D9"/>
          <w:sz w:val="24"/>
          <w:szCs w:val="24"/>
          <w:u w:val="single"/>
        </w:rPr>
        <w:t xml:space="preserve">Obdavčitev društev </w:t>
      </w:r>
    </w:p>
    <w:p w14:paraId="38EC632B" w14:textId="5FA5339F" w:rsidR="00784C7A" w:rsidRDefault="00784C7A"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5FBA5425" w14:textId="4B4440DE" w:rsidR="00784C7A" w:rsidRDefault="00784C7A" w:rsidP="001F2CF9">
      <w:p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Kljub temu, da Zakon o davku od dohodkov pravnih oseb opredeljuje status nepridobitnih organizacij, pa postavlja dodatne pogoje za oprostitev plačila davka od dohodkov pravnih oseb.  Društva so načeloma oproščena plačila davka od dohodka pravnih oseb po 9. Členu ZDDPO-2, to so: </w:t>
      </w:r>
    </w:p>
    <w:p w14:paraId="14795978" w14:textId="64425288" w:rsidR="00784C7A" w:rsidRDefault="00784C7A" w:rsidP="001F2CF9">
      <w:p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Oproščene pravne osebe kot so zavod, društvo, ustanova, verska skupnost, politična stranka, zbornica, reprezentativni sindikat in druga organizacija, ki je ustanovljena kot nepridobitna </w:t>
      </w:r>
      <w:r w:rsidR="008E36AA">
        <w:rPr>
          <w:rFonts w:ascii="Calibri" w:hAnsi="Calibri" w:cs="Calibri"/>
          <w:color w:val="262626" w:themeColor="text1" w:themeTint="D9"/>
          <w:sz w:val="24"/>
          <w:szCs w:val="24"/>
        </w:rPr>
        <w:t>in ima svoje finančno in materialno poslovanje, še posebej pa temeljni akt o ustanovitvi usklajen z zakonom, ki ureja njihovo delovanje. Pri tem omenjeni člen določa, da plača zavezanec davek po tem zakonu iz naslova opravljanja pridobitne dejavnost če:</w:t>
      </w:r>
    </w:p>
    <w:p w14:paraId="234FE534" w14:textId="1B89FAFB" w:rsidR="008E36AA" w:rsidRDefault="008E36AA" w:rsidP="008E36AA">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dosega presežek prihodkov nad odhodki </w:t>
      </w:r>
    </w:p>
    <w:p w14:paraId="176E250F" w14:textId="76A7EC24" w:rsidR="008E36AA" w:rsidRDefault="008E36AA" w:rsidP="008E36AA">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izplačuje pla</w:t>
      </w:r>
      <w:r w:rsidR="00614DA4">
        <w:rPr>
          <w:rFonts w:ascii="Calibri" w:hAnsi="Calibri" w:cs="Calibri"/>
          <w:color w:val="262626" w:themeColor="text1" w:themeTint="D9"/>
          <w:sz w:val="24"/>
          <w:szCs w:val="24"/>
          <w:lang w:val="sl-SI"/>
        </w:rPr>
        <w:t>č</w:t>
      </w:r>
      <w:r>
        <w:rPr>
          <w:rFonts w:ascii="Calibri" w:hAnsi="Calibri" w:cs="Calibri"/>
          <w:color w:val="262626" w:themeColor="text1" w:themeTint="D9"/>
          <w:sz w:val="24"/>
          <w:szCs w:val="24"/>
        </w:rPr>
        <w:t>e</w:t>
      </w:r>
    </w:p>
    <w:p w14:paraId="2D82ED57" w14:textId="77CA2B44" w:rsidR="008E36AA" w:rsidRDefault="008E36AA" w:rsidP="008E36AA">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nagrajuje člane uprave in izkazuje stroške poslovanja </w:t>
      </w:r>
    </w:p>
    <w:p w14:paraId="21EABA41" w14:textId="74CB041B" w:rsidR="008E36AA" w:rsidRDefault="008E36AA" w:rsidP="008E36AA">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nalaga prosta sredstva </w:t>
      </w:r>
    </w:p>
    <w:p w14:paraId="2B696F14" w14:textId="34779B3F" w:rsidR="008E36AA" w:rsidRDefault="008E36AA" w:rsidP="008E36AA">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zmanjšuje ustanovitveno premoženje </w:t>
      </w:r>
    </w:p>
    <w:p w14:paraId="6B8B809F" w14:textId="382963B1" w:rsidR="008E36AA" w:rsidRDefault="008E36AA" w:rsidP="008E36AA">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ravna z ostankom premoženja pri prenehanju </w:t>
      </w:r>
    </w:p>
    <w:p w14:paraId="26E250C6" w14:textId="648307A2" w:rsidR="008E36AA" w:rsidRDefault="008E36AA" w:rsidP="008E36AA">
      <w:p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Presojanje o tem ali je dejavnost pridobitna ali nepridobitna je odvisna od tega kako društvo dosega prihodke. Za dohodke iz opravljanja nepridobitne dejavnosti po 19. Členu ZDDPO-2 veljajo namenska sredstva, ki so pridobljena iz različnih virov za namene in naloge katere je zavezanec ustanovljen in ne pomenijo nadomestila za določene proizvode in opravljene storitve oziroma ugodnosti, ko so dotacije in druga namenska sredstva,  prejeta iz proračuna ali drugih javnih sredstev, donacije, drugi prostovoljni prispevki pravnih in fizičnih oseb ter članarine. </w:t>
      </w:r>
    </w:p>
    <w:p w14:paraId="1E34F532" w14:textId="77777777" w:rsidR="00CE1622" w:rsidRDefault="00CE1622" w:rsidP="008E36AA">
      <w:pPr>
        <w:autoSpaceDE w:val="0"/>
        <w:autoSpaceDN w:val="0"/>
        <w:adjustRightInd w:val="0"/>
        <w:spacing w:after="0" w:line="240" w:lineRule="auto"/>
        <w:rPr>
          <w:rFonts w:ascii="Calibri" w:hAnsi="Calibri" w:cs="Calibri"/>
          <w:color w:val="262626" w:themeColor="text1" w:themeTint="D9"/>
          <w:sz w:val="24"/>
          <w:szCs w:val="24"/>
        </w:rPr>
      </w:pPr>
    </w:p>
    <w:p w14:paraId="0D6FE128" w14:textId="77777777" w:rsidR="00CE1622" w:rsidRDefault="00CE1622" w:rsidP="008E36AA">
      <w:pPr>
        <w:autoSpaceDE w:val="0"/>
        <w:autoSpaceDN w:val="0"/>
        <w:adjustRightInd w:val="0"/>
        <w:spacing w:after="0" w:line="240" w:lineRule="auto"/>
        <w:rPr>
          <w:rFonts w:ascii="Calibri" w:hAnsi="Calibri" w:cs="Calibri"/>
          <w:color w:val="262626" w:themeColor="text1" w:themeTint="D9"/>
          <w:sz w:val="24"/>
          <w:szCs w:val="24"/>
        </w:rPr>
      </w:pPr>
    </w:p>
    <w:p w14:paraId="3E115650" w14:textId="77777777" w:rsidR="00CE1622" w:rsidRDefault="00CE1622" w:rsidP="00CE1622">
      <w:pPr>
        <w:shd w:val="clear" w:color="auto" w:fill="FFFFFF"/>
        <w:spacing w:before="150" w:after="150" w:line="300" w:lineRule="atLeast"/>
        <w:outlineLvl w:val="3"/>
        <w:rPr>
          <w:rFonts w:ascii="Calibri" w:eastAsia="Times New Roman" w:hAnsi="Calibri" w:cs="Calibri"/>
          <w:color w:val="333333"/>
          <w:sz w:val="24"/>
          <w:szCs w:val="24"/>
          <w:lang w:eastAsia="en-GB"/>
        </w:rPr>
      </w:pPr>
      <w:r w:rsidRPr="00CE1622">
        <w:rPr>
          <w:rFonts w:ascii="Calibri" w:eastAsia="Times New Roman" w:hAnsi="Calibri" w:cs="Calibri"/>
          <w:b/>
          <w:bCs/>
          <w:color w:val="333333"/>
          <w:sz w:val="24"/>
          <w:szCs w:val="24"/>
          <w:lang w:eastAsia="en-GB"/>
        </w:rPr>
        <w:t>Pravilnik o opredelitvi pridobitne in nepridobitne dejavnosti</w:t>
      </w:r>
    </w:p>
    <w:p w14:paraId="54B7B7BA" w14:textId="77777777" w:rsidR="00CE1622" w:rsidRDefault="00CE1622" w:rsidP="00CE1622">
      <w:pPr>
        <w:shd w:val="clear" w:color="auto" w:fill="FFFFFF"/>
        <w:spacing w:before="150" w:after="150" w:line="300" w:lineRule="atLeast"/>
        <w:outlineLvl w:val="3"/>
        <w:rPr>
          <w:rFonts w:ascii="Calibri" w:eastAsia="Times New Roman" w:hAnsi="Calibri" w:cs="Calibri"/>
          <w:color w:val="333333"/>
          <w:sz w:val="24"/>
          <w:szCs w:val="24"/>
          <w:lang w:eastAsia="en-GB"/>
        </w:rPr>
      </w:pPr>
    </w:p>
    <w:p w14:paraId="6EE7B3B9" w14:textId="77777777" w:rsidR="00CE1622" w:rsidRDefault="00CE1622" w:rsidP="00CE1622">
      <w:pPr>
        <w:shd w:val="clear" w:color="auto" w:fill="FFFFFF"/>
        <w:spacing w:before="150" w:after="150" w:line="300" w:lineRule="atLeast"/>
        <w:outlineLvl w:val="3"/>
        <w:rPr>
          <w:rFonts w:ascii="Calibri" w:eastAsia="Times New Roman" w:hAnsi="Calibri" w:cs="Calibri"/>
          <w:color w:val="333333"/>
          <w:sz w:val="24"/>
          <w:szCs w:val="24"/>
          <w:lang w:eastAsia="en-GB"/>
        </w:rPr>
      </w:pPr>
      <w:r>
        <w:rPr>
          <w:rFonts w:ascii="Calibri" w:eastAsia="Times New Roman" w:hAnsi="Calibri" w:cs="Calibri"/>
          <w:color w:val="333333"/>
          <w:sz w:val="24"/>
          <w:szCs w:val="24"/>
          <w:lang w:eastAsia="en-GB"/>
        </w:rPr>
        <w:t xml:space="preserve">Pravilnik o opredelitvi pridobitne in nepridobitne dejavnosti </w:t>
      </w:r>
      <w:r w:rsidRPr="00CE1622">
        <w:rPr>
          <w:rFonts w:ascii="Calibri" w:eastAsia="Times New Roman" w:hAnsi="Calibri" w:cs="Calibri"/>
          <w:color w:val="333333"/>
          <w:sz w:val="24"/>
          <w:szCs w:val="24"/>
          <w:lang w:eastAsia="en-GB"/>
        </w:rPr>
        <w:t xml:space="preserve"> pojasnjuje razliko med pridobitno in nepridobitno dejavnostj</w:t>
      </w:r>
      <w:r>
        <w:rPr>
          <w:rFonts w:ascii="Calibri" w:eastAsia="Times New Roman" w:hAnsi="Calibri" w:cs="Calibri"/>
          <w:color w:val="333333"/>
          <w:sz w:val="24"/>
          <w:szCs w:val="24"/>
          <w:lang w:eastAsia="en-GB"/>
        </w:rPr>
        <w:t xml:space="preserve">o. </w:t>
      </w:r>
    </w:p>
    <w:p w14:paraId="1F2B152C" w14:textId="05832E64" w:rsidR="00CE1622" w:rsidRPr="00CE1622" w:rsidRDefault="00CE1622" w:rsidP="00CE1622">
      <w:pPr>
        <w:shd w:val="clear" w:color="auto" w:fill="FFFFFF"/>
        <w:spacing w:before="150" w:after="150" w:line="300" w:lineRule="atLeast"/>
        <w:outlineLvl w:val="3"/>
        <w:rPr>
          <w:rFonts w:ascii="Calibri" w:eastAsia="Times New Roman" w:hAnsi="Calibri" w:cs="Calibri"/>
          <w:b/>
          <w:bCs/>
          <w:color w:val="333333"/>
          <w:sz w:val="24"/>
          <w:szCs w:val="24"/>
          <w:lang w:eastAsia="en-GB"/>
        </w:rPr>
      </w:pPr>
      <w:r w:rsidRPr="00D13803">
        <w:rPr>
          <w:rFonts w:ascii="Calibri" w:eastAsia="Times New Roman" w:hAnsi="Calibri" w:cs="Calibri"/>
          <w:b/>
          <w:bCs/>
          <w:color w:val="333333"/>
          <w:sz w:val="24"/>
          <w:szCs w:val="24"/>
          <w:lang w:eastAsia="en-GB"/>
        </w:rPr>
        <w:lastRenderedPageBreak/>
        <w:t>NEPRIDOBITNE DEJAVNOSTI</w:t>
      </w:r>
      <w:r w:rsidRPr="00CE1622">
        <w:rPr>
          <w:rFonts w:ascii="Calibri" w:eastAsia="Times New Roman" w:hAnsi="Calibri" w:cs="Calibri"/>
          <w:b/>
          <w:bCs/>
          <w:color w:val="333333"/>
          <w:sz w:val="24"/>
          <w:szCs w:val="24"/>
          <w:lang w:eastAsia="en-GB"/>
        </w:rPr>
        <w:t>:</w:t>
      </w:r>
    </w:p>
    <w:p w14:paraId="52D7FFA4" w14:textId="77777777" w:rsidR="00CE1622" w:rsidRPr="00CE1622" w:rsidRDefault="00CE1622" w:rsidP="00CE1622">
      <w:pPr>
        <w:numPr>
          <w:ilvl w:val="0"/>
          <w:numId w:val="9"/>
        </w:numPr>
        <w:shd w:val="clear" w:color="auto" w:fill="FFFFFF"/>
        <w:spacing w:before="100" w:beforeAutospacing="1" w:after="100" w:afterAutospacing="1" w:line="300" w:lineRule="atLeast"/>
        <w:ind w:left="375"/>
        <w:rPr>
          <w:rFonts w:ascii="Calibri" w:eastAsia="Times New Roman" w:hAnsi="Calibri" w:cs="Calibri"/>
          <w:color w:val="555555"/>
          <w:sz w:val="24"/>
          <w:szCs w:val="24"/>
          <w:lang w:eastAsia="en-GB"/>
        </w:rPr>
      </w:pPr>
      <w:r w:rsidRPr="00CE1622">
        <w:rPr>
          <w:rFonts w:ascii="Calibri" w:eastAsia="Times New Roman" w:hAnsi="Calibri" w:cs="Calibri"/>
          <w:color w:val="555555"/>
          <w:sz w:val="24"/>
          <w:szCs w:val="24"/>
          <w:lang w:eastAsia="en-GB"/>
        </w:rPr>
        <w:t>donacije, pri čemer je donacija brezpogojno plačilo oziroma prispevek v denarju ali naravi. Oziroma so donacije zneski ali stvari, ki jih dobiva zavezanec iz 9. člena ZDDPO-2 od fizičnih in pravnih oseb brez obveznosti vračila in se ne nanašajo na plačila za proizvode ali storitve, katerih kupci so te osebe,</w:t>
      </w:r>
    </w:p>
    <w:p w14:paraId="43771B6F" w14:textId="77777777" w:rsidR="00CE1622" w:rsidRPr="00CE1622" w:rsidRDefault="00CE1622" w:rsidP="00CE1622">
      <w:pPr>
        <w:numPr>
          <w:ilvl w:val="0"/>
          <w:numId w:val="9"/>
        </w:numPr>
        <w:shd w:val="clear" w:color="auto" w:fill="FFFFFF"/>
        <w:spacing w:before="100" w:beforeAutospacing="1" w:after="100" w:afterAutospacing="1" w:line="300" w:lineRule="atLeast"/>
        <w:ind w:left="375"/>
        <w:rPr>
          <w:rFonts w:ascii="Calibri" w:eastAsia="Times New Roman" w:hAnsi="Calibri" w:cs="Calibri"/>
          <w:color w:val="555555"/>
          <w:sz w:val="24"/>
          <w:szCs w:val="24"/>
          <w:lang w:eastAsia="en-GB"/>
        </w:rPr>
      </w:pPr>
      <w:r w:rsidRPr="00CE1622">
        <w:rPr>
          <w:rFonts w:ascii="Calibri" w:eastAsia="Times New Roman" w:hAnsi="Calibri" w:cs="Calibri"/>
          <w:color w:val="555555"/>
          <w:sz w:val="24"/>
          <w:szCs w:val="24"/>
          <w:lang w:eastAsia="en-GB"/>
        </w:rPr>
        <w:t>članarine, če gre za članarine, ki dejansko pomenijo obvezni denarni prispevek članov zavezancu. In za katere iz ene ali več okoliščin izhaja, da so po vsebini članarine. Primeroma, da v celoti ali deloma ne predstavljajo plačila za določene proizvode, blago, storitve ali plačila za ugodnosti, ki jih ta zavezanec nudi članom ali njihovim povezanim osebam;</w:t>
      </w:r>
    </w:p>
    <w:p w14:paraId="4B643788" w14:textId="77777777" w:rsidR="00CE1622" w:rsidRPr="00CE1622" w:rsidRDefault="00CE1622" w:rsidP="00CE1622">
      <w:pPr>
        <w:numPr>
          <w:ilvl w:val="0"/>
          <w:numId w:val="9"/>
        </w:numPr>
        <w:shd w:val="clear" w:color="auto" w:fill="FFFFFF"/>
        <w:spacing w:before="100" w:beforeAutospacing="1" w:after="100" w:afterAutospacing="1" w:line="300" w:lineRule="atLeast"/>
        <w:ind w:left="375"/>
        <w:rPr>
          <w:rFonts w:ascii="Calibri" w:eastAsia="Times New Roman" w:hAnsi="Calibri" w:cs="Calibri"/>
          <w:color w:val="555555"/>
          <w:sz w:val="24"/>
          <w:szCs w:val="24"/>
          <w:lang w:eastAsia="en-GB"/>
        </w:rPr>
      </w:pPr>
      <w:r w:rsidRPr="00CE1622">
        <w:rPr>
          <w:rFonts w:ascii="Calibri" w:eastAsia="Times New Roman" w:hAnsi="Calibri" w:cs="Calibri"/>
          <w:color w:val="555555"/>
          <w:sz w:val="24"/>
          <w:szCs w:val="24"/>
          <w:lang w:eastAsia="en-GB"/>
        </w:rPr>
        <w:t>volila in dediščine;</w:t>
      </w:r>
    </w:p>
    <w:p w14:paraId="5EB33DD0" w14:textId="77777777" w:rsidR="00CE1622" w:rsidRPr="00CE1622" w:rsidRDefault="00CE1622" w:rsidP="00CE1622">
      <w:pPr>
        <w:numPr>
          <w:ilvl w:val="0"/>
          <w:numId w:val="9"/>
        </w:numPr>
        <w:shd w:val="clear" w:color="auto" w:fill="FFFFFF"/>
        <w:spacing w:before="100" w:beforeAutospacing="1" w:after="100" w:afterAutospacing="1" w:line="300" w:lineRule="atLeast"/>
        <w:ind w:left="375"/>
        <w:rPr>
          <w:rFonts w:ascii="Calibri" w:eastAsia="Times New Roman" w:hAnsi="Calibri" w:cs="Calibri"/>
          <w:color w:val="555555"/>
          <w:sz w:val="24"/>
          <w:szCs w:val="24"/>
          <w:lang w:eastAsia="en-GB"/>
        </w:rPr>
      </w:pPr>
      <w:r w:rsidRPr="00CE1622">
        <w:rPr>
          <w:rFonts w:ascii="Calibri" w:eastAsia="Times New Roman" w:hAnsi="Calibri" w:cs="Calibri"/>
          <w:color w:val="555555"/>
          <w:sz w:val="24"/>
          <w:szCs w:val="24"/>
          <w:lang w:eastAsia="en-GB"/>
        </w:rPr>
        <w:t>prihodki iz davkov in dajatev ter prispevkov, ki so plačani neposredno Zavodu za zdravstveno zavarovanje Slovenije in Zavodu za pokojninsko in invalidsko zavarovanje;</w:t>
      </w:r>
    </w:p>
    <w:p w14:paraId="1D573380" w14:textId="77777777" w:rsidR="00CE1622" w:rsidRPr="00CE1622" w:rsidRDefault="00CE1622" w:rsidP="00CE1622">
      <w:pPr>
        <w:numPr>
          <w:ilvl w:val="0"/>
          <w:numId w:val="9"/>
        </w:numPr>
        <w:shd w:val="clear" w:color="auto" w:fill="FFFFFF"/>
        <w:spacing w:before="100" w:beforeAutospacing="1" w:after="100" w:afterAutospacing="1" w:line="300" w:lineRule="atLeast"/>
        <w:ind w:left="375"/>
        <w:rPr>
          <w:rFonts w:ascii="Calibri" w:eastAsia="Times New Roman" w:hAnsi="Calibri" w:cs="Calibri"/>
          <w:color w:val="555555"/>
          <w:sz w:val="24"/>
          <w:szCs w:val="24"/>
          <w:lang w:eastAsia="en-GB"/>
        </w:rPr>
      </w:pPr>
      <w:r w:rsidRPr="00CE1622">
        <w:rPr>
          <w:rFonts w:ascii="Calibri" w:eastAsia="Times New Roman" w:hAnsi="Calibri" w:cs="Calibri"/>
          <w:color w:val="555555"/>
          <w:sz w:val="24"/>
          <w:szCs w:val="24"/>
          <w:lang w:eastAsia="en-GB"/>
        </w:rPr>
        <w:t>obresti za sredstva na podračunih, ki so vključeni v sistem enotnega zakladniškega računa (EZR) države oziroma občin in obresti za vloge, naložene v okviru sistema enotnega zakladniškega računa (EZR) države oziroma občin;</w:t>
      </w:r>
    </w:p>
    <w:p w14:paraId="355F6E4C" w14:textId="77777777" w:rsidR="00CE1622" w:rsidRPr="00CE1622" w:rsidRDefault="00CE1622" w:rsidP="00CE1622">
      <w:pPr>
        <w:numPr>
          <w:ilvl w:val="0"/>
          <w:numId w:val="9"/>
        </w:numPr>
        <w:shd w:val="clear" w:color="auto" w:fill="FFFFFF"/>
        <w:spacing w:before="100" w:beforeAutospacing="1" w:after="100" w:afterAutospacing="1" w:line="300" w:lineRule="atLeast"/>
        <w:ind w:left="375"/>
        <w:rPr>
          <w:rFonts w:ascii="Calibri" w:eastAsia="Times New Roman" w:hAnsi="Calibri" w:cs="Calibri"/>
          <w:color w:val="555555"/>
          <w:sz w:val="24"/>
          <w:szCs w:val="24"/>
          <w:lang w:eastAsia="en-GB"/>
        </w:rPr>
      </w:pPr>
      <w:r w:rsidRPr="00CE1622">
        <w:rPr>
          <w:rFonts w:ascii="Calibri" w:eastAsia="Times New Roman" w:hAnsi="Calibri" w:cs="Calibri"/>
          <w:color w:val="555555"/>
          <w:sz w:val="24"/>
          <w:szCs w:val="24"/>
          <w:lang w:eastAsia="en-GB"/>
        </w:rPr>
        <w:t>sredstva za izvajanje javne službe iz javnofinančnih virov;</w:t>
      </w:r>
    </w:p>
    <w:p w14:paraId="29172750" w14:textId="77777777" w:rsidR="00CE1622" w:rsidRPr="00CE1622" w:rsidRDefault="00CE1622" w:rsidP="00CE1622">
      <w:pPr>
        <w:numPr>
          <w:ilvl w:val="0"/>
          <w:numId w:val="9"/>
        </w:numPr>
        <w:shd w:val="clear" w:color="auto" w:fill="FFFFFF"/>
        <w:spacing w:before="100" w:beforeAutospacing="1" w:after="100" w:afterAutospacing="1" w:line="300" w:lineRule="atLeast"/>
        <w:ind w:left="375"/>
        <w:rPr>
          <w:rFonts w:ascii="Calibri" w:eastAsia="Times New Roman" w:hAnsi="Calibri" w:cs="Calibri"/>
          <w:color w:val="555555"/>
          <w:sz w:val="24"/>
          <w:szCs w:val="24"/>
          <w:lang w:eastAsia="en-GB"/>
        </w:rPr>
      </w:pPr>
      <w:r w:rsidRPr="00CE1622">
        <w:rPr>
          <w:rFonts w:ascii="Calibri" w:eastAsia="Times New Roman" w:hAnsi="Calibri" w:cs="Calibri"/>
          <w:color w:val="555555"/>
          <w:sz w:val="24"/>
          <w:szCs w:val="24"/>
          <w:lang w:eastAsia="en-GB"/>
        </w:rPr>
        <w:t>namenska javna sredstva.</w:t>
      </w:r>
    </w:p>
    <w:p w14:paraId="784BE966" w14:textId="459791DE" w:rsidR="00CE1622" w:rsidRPr="00CE1622" w:rsidRDefault="00CE1622" w:rsidP="00CE1622">
      <w:pPr>
        <w:shd w:val="clear" w:color="auto" w:fill="FFFFFF"/>
        <w:spacing w:before="150" w:after="150" w:line="300" w:lineRule="atLeast"/>
        <w:outlineLvl w:val="3"/>
        <w:rPr>
          <w:rFonts w:ascii="Calibri" w:eastAsia="Times New Roman" w:hAnsi="Calibri" w:cs="Calibri"/>
          <w:b/>
          <w:bCs/>
          <w:color w:val="333333"/>
          <w:sz w:val="24"/>
          <w:szCs w:val="24"/>
          <w:lang w:eastAsia="en-GB"/>
        </w:rPr>
      </w:pPr>
      <w:r w:rsidRPr="00D13803">
        <w:rPr>
          <w:rFonts w:ascii="Calibri" w:eastAsia="Times New Roman" w:hAnsi="Calibri" w:cs="Calibri"/>
          <w:b/>
          <w:bCs/>
          <w:color w:val="333333"/>
          <w:sz w:val="24"/>
          <w:szCs w:val="24"/>
          <w:lang w:eastAsia="en-GB"/>
        </w:rPr>
        <w:t>PRIDOBITNE DEJAVNOSTI</w:t>
      </w:r>
      <w:r w:rsidRPr="00CE1622">
        <w:rPr>
          <w:rFonts w:ascii="Calibri" w:eastAsia="Times New Roman" w:hAnsi="Calibri" w:cs="Calibri"/>
          <w:b/>
          <w:bCs/>
          <w:color w:val="333333"/>
          <w:sz w:val="24"/>
          <w:szCs w:val="24"/>
          <w:lang w:eastAsia="en-GB"/>
        </w:rPr>
        <w:t>:</w:t>
      </w:r>
    </w:p>
    <w:p w14:paraId="1345D6E2" w14:textId="77777777" w:rsidR="00CE1622" w:rsidRPr="00CE1622" w:rsidRDefault="00CE1622" w:rsidP="00CE1622">
      <w:pPr>
        <w:numPr>
          <w:ilvl w:val="0"/>
          <w:numId w:val="10"/>
        </w:numPr>
        <w:shd w:val="clear" w:color="auto" w:fill="FFFFFF"/>
        <w:spacing w:before="100" w:beforeAutospacing="1" w:after="100" w:afterAutospacing="1" w:line="300" w:lineRule="atLeast"/>
        <w:ind w:left="375"/>
        <w:rPr>
          <w:rFonts w:ascii="Calibri" w:eastAsia="Times New Roman" w:hAnsi="Calibri" w:cs="Calibri"/>
          <w:color w:val="555555"/>
          <w:sz w:val="24"/>
          <w:szCs w:val="24"/>
          <w:lang w:eastAsia="en-GB"/>
        </w:rPr>
      </w:pPr>
      <w:r w:rsidRPr="00CE1622">
        <w:rPr>
          <w:rFonts w:ascii="Calibri" w:eastAsia="Times New Roman" w:hAnsi="Calibri" w:cs="Calibri"/>
          <w:color w:val="555555"/>
          <w:sz w:val="24"/>
          <w:szCs w:val="24"/>
          <w:lang w:eastAsia="en-GB"/>
        </w:rPr>
        <w:t>sredstva za izvajanje javne službe, ki niso sredstva iz prvega odstavka šeste alineje 3. člena tega pravilnika (kot so doplačila uporabnikov),</w:t>
      </w:r>
    </w:p>
    <w:p w14:paraId="79515412" w14:textId="77777777" w:rsidR="00CE1622" w:rsidRPr="00CE1622" w:rsidRDefault="00CE1622" w:rsidP="00CE1622">
      <w:pPr>
        <w:numPr>
          <w:ilvl w:val="0"/>
          <w:numId w:val="10"/>
        </w:numPr>
        <w:shd w:val="clear" w:color="auto" w:fill="FFFFFF"/>
        <w:spacing w:before="100" w:beforeAutospacing="1" w:after="100" w:afterAutospacing="1" w:line="300" w:lineRule="atLeast"/>
        <w:ind w:left="375"/>
        <w:rPr>
          <w:rFonts w:ascii="Calibri" w:eastAsia="Times New Roman" w:hAnsi="Calibri" w:cs="Calibri"/>
          <w:color w:val="555555"/>
          <w:sz w:val="24"/>
          <w:szCs w:val="24"/>
          <w:lang w:eastAsia="en-GB"/>
        </w:rPr>
      </w:pPr>
      <w:r w:rsidRPr="00CE1622">
        <w:rPr>
          <w:rFonts w:ascii="Calibri" w:eastAsia="Times New Roman" w:hAnsi="Calibri" w:cs="Calibri"/>
          <w:color w:val="555555"/>
          <w:sz w:val="24"/>
          <w:szCs w:val="24"/>
          <w:lang w:eastAsia="en-GB"/>
        </w:rPr>
        <w:t>bančne obresti, razen obresti na transakcijskih računih, in obresti za vezane vloge pri bankah in hranilnicah, ustanovljenih v skladu s predpisi v Sloveniji ter pri bankah in hranilnicah drugih držav članic Evropske unije. Pri čemer se dohodki od obresti za vezane vloge ne štejejo za pridobitne do vključno višine 1000 eurov letno,</w:t>
      </w:r>
    </w:p>
    <w:p w14:paraId="40132AAE" w14:textId="77777777" w:rsidR="00CE1622" w:rsidRPr="00CE1622" w:rsidRDefault="00CE1622" w:rsidP="00CE1622">
      <w:pPr>
        <w:numPr>
          <w:ilvl w:val="0"/>
          <w:numId w:val="10"/>
        </w:numPr>
        <w:shd w:val="clear" w:color="auto" w:fill="FFFFFF"/>
        <w:spacing w:before="100" w:beforeAutospacing="1" w:after="100" w:afterAutospacing="1" w:line="300" w:lineRule="atLeast"/>
        <w:ind w:left="375"/>
        <w:rPr>
          <w:rFonts w:ascii="Calibri" w:eastAsia="Times New Roman" w:hAnsi="Calibri" w:cs="Calibri"/>
          <w:color w:val="555555"/>
          <w:sz w:val="24"/>
          <w:szCs w:val="24"/>
          <w:lang w:eastAsia="en-GB"/>
        </w:rPr>
      </w:pPr>
      <w:r w:rsidRPr="00CE1622">
        <w:rPr>
          <w:rFonts w:ascii="Calibri" w:eastAsia="Times New Roman" w:hAnsi="Calibri" w:cs="Calibri"/>
          <w:color w:val="555555"/>
          <w:sz w:val="24"/>
          <w:szCs w:val="24"/>
          <w:lang w:eastAsia="en-GB"/>
        </w:rPr>
        <w:t>dividende in drugi dohodki iz naložb,</w:t>
      </w:r>
    </w:p>
    <w:p w14:paraId="3A591DAB" w14:textId="77777777" w:rsidR="00CE1622" w:rsidRPr="00CE1622" w:rsidRDefault="00CE1622" w:rsidP="00CE1622">
      <w:pPr>
        <w:numPr>
          <w:ilvl w:val="0"/>
          <w:numId w:val="10"/>
        </w:numPr>
        <w:shd w:val="clear" w:color="auto" w:fill="FFFFFF"/>
        <w:spacing w:before="100" w:beforeAutospacing="1" w:after="100" w:afterAutospacing="1" w:line="300" w:lineRule="atLeast"/>
        <w:ind w:left="375"/>
        <w:rPr>
          <w:rFonts w:ascii="Calibri" w:eastAsia="Times New Roman" w:hAnsi="Calibri" w:cs="Calibri"/>
          <w:color w:val="555555"/>
          <w:sz w:val="24"/>
          <w:szCs w:val="24"/>
          <w:lang w:eastAsia="en-GB"/>
        </w:rPr>
      </w:pPr>
      <w:r w:rsidRPr="00CE1622">
        <w:rPr>
          <w:rFonts w:ascii="Calibri" w:eastAsia="Times New Roman" w:hAnsi="Calibri" w:cs="Calibri"/>
          <w:color w:val="555555"/>
          <w:sz w:val="24"/>
          <w:szCs w:val="24"/>
          <w:lang w:eastAsia="en-GB"/>
        </w:rPr>
        <w:t>dohodki od prodaje blaga in storitev. Vključno z donosi od prodaje spominkov članom in nečlanom, vključno s hrano in pijačo, ki jo proda zavezanec članom in nečlanom, običajno v klubskih prostorih, kadar obiščejo zavezanca,</w:t>
      </w:r>
    </w:p>
    <w:p w14:paraId="07D3F567" w14:textId="77777777" w:rsidR="00CE1622" w:rsidRPr="00CE1622" w:rsidRDefault="00CE1622" w:rsidP="00CE1622">
      <w:pPr>
        <w:numPr>
          <w:ilvl w:val="0"/>
          <w:numId w:val="10"/>
        </w:numPr>
        <w:shd w:val="clear" w:color="auto" w:fill="FFFFFF"/>
        <w:spacing w:before="100" w:beforeAutospacing="1" w:after="100" w:afterAutospacing="1" w:line="300" w:lineRule="atLeast"/>
        <w:ind w:left="375"/>
        <w:rPr>
          <w:rFonts w:ascii="Calibri" w:eastAsia="Times New Roman" w:hAnsi="Calibri" w:cs="Calibri"/>
          <w:color w:val="555555"/>
          <w:sz w:val="24"/>
          <w:szCs w:val="24"/>
          <w:lang w:eastAsia="en-GB"/>
        </w:rPr>
      </w:pPr>
      <w:r w:rsidRPr="00CE1622">
        <w:rPr>
          <w:rFonts w:ascii="Calibri" w:eastAsia="Times New Roman" w:hAnsi="Calibri" w:cs="Calibri"/>
          <w:color w:val="555555"/>
          <w:sz w:val="24"/>
          <w:szCs w:val="24"/>
          <w:lang w:eastAsia="en-GB"/>
        </w:rPr>
        <w:t>najemnine in druga plačila iz oddajanja prostorov zavezanca, drugih zmogljivosti zavezanca ali opreme drugim osebam,</w:t>
      </w:r>
    </w:p>
    <w:p w14:paraId="697A2072" w14:textId="77777777" w:rsidR="00CE1622" w:rsidRPr="00CE1622" w:rsidRDefault="00CE1622" w:rsidP="00CE1622">
      <w:pPr>
        <w:numPr>
          <w:ilvl w:val="0"/>
          <w:numId w:val="10"/>
        </w:numPr>
        <w:shd w:val="clear" w:color="auto" w:fill="FFFFFF"/>
        <w:spacing w:before="100" w:beforeAutospacing="1" w:after="100" w:afterAutospacing="1" w:line="300" w:lineRule="atLeast"/>
        <w:ind w:left="375"/>
        <w:rPr>
          <w:rFonts w:ascii="Calibri" w:eastAsia="Times New Roman" w:hAnsi="Calibri" w:cs="Calibri"/>
          <w:color w:val="555555"/>
          <w:sz w:val="24"/>
          <w:szCs w:val="24"/>
          <w:lang w:eastAsia="en-GB"/>
        </w:rPr>
      </w:pPr>
      <w:r w:rsidRPr="00CE1622">
        <w:rPr>
          <w:rFonts w:ascii="Calibri" w:eastAsia="Times New Roman" w:hAnsi="Calibri" w:cs="Calibri"/>
          <w:color w:val="555555"/>
          <w:sz w:val="24"/>
          <w:szCs w:val="24"/>
          <w:lang w:eastAsia="en-GB"/>
        </w:rPr>
        <w:t>dohodki, doseženi z odsvojitvijo osnovnih sredstev,</w:t>
      </w:r>
    </w:p>
    <w:p w14:paraId="0D3B9FD1" w14:textId="77777777" w:rsidR="00CE1622" w:rsidRPr="00CE1622" w:rsidRDefault="00CE1622" w:rsidP="00CE1622">
      <w:pPr>
        <w:numPr>
          <w:ilvl w:val="0"/>
          <w:numId w:val="10"/>
        </w:numPr>
        <w:shd w:val="clear" w:color="auto" w:fill="FFFFFF"/>
        <w:spacing w:before="100" w:beforeAutospacing="1" w:after="100" w:afterAutospacing="1" w:line="300" w:lineRule="atLeast"/>
        <w:ind w:left="375"/>
        <w:rPr>
          <w:rFonts w:ascii="Calibri" w:eastAsia="Times New Roman" w:hAnsi="Calibri" w:cs="Calibri"/>
          <w:color w:val="555555"/>
          <w:sz w:val="24"/>
          <w:szCs w:val="24"/>
          <w:lang w:eastAsia="en-GB"/>
        </w:rPr>
      </w:pPr>
      <w:r w:rsidRPr="00CE1622">
        <w:rPr>
          <w:rFonts w:ascii="Calibri" w:eastAsia="Times New Roman" w:hAnsi="Calibri" w:cs="Calibri"/>
          <w:color w:val="555555"/>
          <w:sz w:val="24"/>
          <w:szCs w:val="24"/>
          <w:lang w:eastAsia="en-GB"/>
        </w:rPr>
        <w:t>plačila članov in nečlanov zavezanca za udeležbo na večerjah, zabavah, plesih ali drugih družabnih srečanjih, ki jih organizira zavezanec,</w:t>
      </w:r>
    </w:p>
    <w:p w14:paraId="436EC5B4" w14:textId="77777777" w:rsidR="00CE1622" w:rsidRPr="00CE1622" w:rsidRDefault="00CE1622" w:rsidP="00CE1622">
      <w:pPr>
        <w:numPr>
          <w:ilvl w:val="0"/>
          <w:numId w:val="10"/>
        </w:numPr>
        <w:shd w:val="clear" w:color="auto" w:fill="FFFFFF"/>
        <w:spacing w:before="100" w:beforeAutospacing="1" w:after="100" w:afterAutospacing="1" w:line="300" w:lineRule="atLeast"/>
        <w:ind w:left="375"/>
        <w:rPr>
          <w:rFonts w:ascii="Calibri" w:eastAsia="Times New Roman" w:hAnsi="Calibri" w:cs="Calibri"/>
          <w:color w:val="555555"/>
          <w:sz w:val="24"/>
          <w:szCs w:val="24"/>
          <w:lang w:eastAsia="en-GB"/>
        </w:rPr>
      </w:pPr>
      <w:r w:rsidRPr="00CE1622">
        <w:rPr>
          <w:rFonts w:ascii="Calibri" w:eastAsia="Times New Roman" w:hAnsi="Calibri" w:cs="Calibri"/>
          <w:color w:val="555555"/>
          <w:sz w:val="24"/>
          <w:szCs w:val="24"/>
          <w:lang w:eastAsia="en-GB"/>
        </w:rPr>
        <w:t>plačila članov in nečlanov zavezanca za udeležbo na razgovorih, predstavitvah ali delavnicah, ki jih organizira zavezanec,</w:t>
      </w:r>
    </w:p>
    <w:p w14:paraId="0BA36DC0" w14:textId="77777777" w:rsidR="00CE1622" w:rsidRPr="00CE1622" w:rsidRDefault="00CE1622" w:rsidP="00CE1622">
      <w:pPr>
        <w:numPr>
          <w:ilvl w:val="0"/>
          <w:numId w:val="10"/>
        </w:numPr>
        <w:shd w:val="clear" w:color="auto" w:fill="FFFFFF"/>
        <w:spacing w:before="100" w:beforeAutospacing="1" w:after="100" w:afterAutospacing="1" w:line="300" w:lineRule="atLeast"/>
        <w:ind w:left="375"/>
        <w:rPr>
          <w:rFonts w:ascii="Calibri" w:eastAsia="Times New Roman" w:hAnsi="Calibri" w:cs="Calibri"/>
          <w:color w:val="555555"/>
          <w:sz w:val="24"/>
          <w:szCs w:val="24"/>
          <w:lang w:eastAsia="en-GB"/>
        </w:rPr>
      </w:pPr>
      <w:r w:rsidRPr="00CE1622">
        <w:rPr>
          <w:rFonts w:ascii="Calibri" w:eastAsia="Times New Roman" w:hAnsi="Calibri" w:cs="Calibri"/>
          <w:color w:val="555555"/>
          <w:sz w:val="24"/>
          <w:szCs w:val="24"/>
          <w:lang w:eastAsia="en-GB"/>
        </w:rPr>
        <w:t>dohodki od srečelovov in podobnih iger, ki jih organizira zavezanec.</w:t>
      </w:r>
    </w:p>
    <w:p w14:paraId="11C8CD56" w14:textId="65D78732" w:rsidR="008E36AA" w:rsidRPr="008E36AA" w:rsidRDefault="008E36AA" w:rsidP="008E36AA">
      <w:p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V skladu s prvim odstavkom 336. Člena Zakona o davčnem postopku pa si zavezanec za davek od dohodkov pravnih oseb sam izračuna in plača davek (načelo samoobdavčitve), davčna služba pa opravlja nadzor nad izpolnjevanjem davčnih obveznosti. </w:t>
      </w:r>
    </w:p>
    <w:p w14:paraId="59393251" w14:textId="45AC3BD1" w:rsidR="002C3C3E" w:rsidRPr="00A74A7E" w:rsidRDefault="002C3C3E" w:rsidP="001F2CF9">
      <w:pPr>
        <w:autoSpaceDE w:val="0"/>
        <w:autoSpaceDN w:val="0"/>
        <w:adjustRightInd w:val="0"/>
        <w:spacing w:after="0" w:line="240" w:lineRule="auto"/>
        <w:rPr>
          <w:rFonts w:ascii="Calibri" w:hAnsi="Calibri" w:cs="Calibri"/>
          <w:color w:val="262626" w:themeColor="text1" w:themeTint="D9"/>
          <w:sz w:val="24"/>
          <w:szCs w:val="24"/>
          <w:u w:val="single"/>
        </w:rPr>
      </w:pPr>
    </w:p>
    <w:p w14:paraId="5767F6D6" w14:textId="77777777" w:rsidR="00D13803" w:rsidRDefault="00D13803"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0312B256" w14:textId="77777777" w:rsidR="00D13803" w:rsidRDefault="00D13803"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7B7F88EE" w14:textId="2C38333F" w:rsidR="00A74A7E" w:rsidRDefault="00A74A7E"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r w:rsidRPr="00A74A7E">
        <w:rPr>
          <w:rFonts w:ascii="Calibri" w:hAnsi="Calibri" w:cs="Calibri"/>
          <w:b/>
          <w:bCs/>
          <w:i/>
          <w:iCs/>
          <w:color w:val="262626" w:themeColor="text1" w:themeTint="D9"/>
          <w:sz w:val="24"/>
          <w:szCs w:val="24"/>
          <w:u w:val="single"/>
        </w:rPr>
        <w:lastRenderedPageBreak/>
        <w:t xml:space="preserve">ZASEBNI ZAVOD </w:t>
      </w:r>
    </w:p>
    <w:p w14:paraId="2F669001" w14:textId="6BB4C137" w:rsidR="00A74A7E" w:rsidRDefault="00A74A7E"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1065411C" w14:textId="4F221904" w:rsidR="00A74A7E" w:rsidRDefault="00A74A7E"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r>
        <w:rPr>
          <w:rFonts w:ascii="Calibri" w:hAnsi="Calibri" w:cs="Calibri"/>
          <w:b/>
          <w:bCs/>
          <w:i/>
          <w:iCs/>
          <w:color w:val="262626" w:themeColor="text1" w:themeTint="D9"/>
          <w:sz w:val="24"/>
          <w:szCs w:val="24"/>
          <w:u w:val="single"/>
        </w:rPr>
        <w:t>Kaj je zavod in kdo ga lahko ustanovi?</w:t>
      </w:r>
    </w:p>
    <w:p w14:paraId="6A268C1C" w14:textId="77777777" w:rsidR="00A74A7E" w:rsidRDefault="00A74A7E"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3937F402" w14:textId="63DA1052" w:rsidR="00A74A7E" w:rsidRDefault="00A74A7E" w:rsidP="001F2CF9">
      <w:pPr>
        <w:autoSpaceDE w:val="0"/>
        <w:autoSpaceDN w:val="0"/>
        <w:adjustRightInd w:val="0"/>
        <w:spacing w:after="0" w:line="240" w:lineRule="auto"/>
        <w:rPr>
          <w:rFonts w:ascii="Calibri" w:hAnsi="Calibri" w:cs="Calibri"/>
          <w:color w:val="262626" w:themeColor="text1" w:themeTint="D9"/>
          <w:sz w:val="24"/>
          <w:szCs w:val="24"/>
          <w:shd w:val="clear" w:color="auto" w:fill="FFFFFF"/>
        </w:rPr>
      </w:pPr>
      <w:r w:rsidRPr="00A74A7E">
        <w:rPr>
          <w:rFonts w:ascii="Calibri" w:hAnsi="Calibri" w:cs="Calibri"/>
          <w:b/>
          <w:bCs/>
          <w:color w:val="262626" w:themeColor="text1" w:themeTint="D9"/>
          <w:sz w:val="24"/>
          <w:szCs w:val="24"/>
          <w:shd w:val="clear" w:color="auto" w:fill="FFFFFF"/>
        </w:rPr>
        <w:t>Zasebni zavodi</w:t>
      </w:r>
      <w:r w:rsidRPr="00A74A7E">
        <w:rPr>
          <w:rFonts w:ascii="Calibri" w:hAnsi="Calibri" w:cs="Calibri"/>
          <w:color w:val="262626" w:themeColor="text1" w:themeTint="D9"/>
          <w:sz w:val="24"/>
          <w:szCs w:val="24"/>
          <w:shd w:val="clear" w:color="auto" w:fill="FFFFFF"/>
        </w:rPr>
        <w:t> so družbe, ki opravljajo dejavnosti s področja kulture, športa, zdravstva, socialne in druge dejavnosti. Kot društva, tudi zavodi načeloma opravljajo nepridobitno dejavnost, vendar je ureditev drugačna kot pri društvih. Zakon o zavodih določa, da lahko zavod opravlja tudi gospodarsko oziroma pridobitno dejavnost, dokler je ta v sklopu dejavnosti, za opravljanje katere je bil zavod ustanovljen.</w:t>
      </w:r>
    </w:p>
    <w:p w14:paraId="3FB1072F" w14:textId="056D7769" w:rsidR="00A74A7E" w:rsidRDefault="00A74A7E" w:rsidP="001F2CF9">
      <w:pPr>
        <w:autoSpaceDE w:val="0"/>
        <w:autoSpaceDN w:val="0"/>
        <w:adjustRightInd w:val="0"/>
        <w:spacing w:after="0" w:line="240" w:lineRule="auto"/>
        <w:rPr>
          <w:rFonts w:ascii="Calibri" w:hAnsi="Calibri" w:cs="Calibri"/>
          <w:color w:val="262626" w:themeColor="text1" w:themeTint="D9"/>
          <w:sz w:val="24"/>
          <w:szCs w:val="24"/>
          <w:shd w:val="clear" w:color="auto" w:fill="FFFFFF"/>
        </w:rPr>
      </w:pPr>
    </w:p>
    <w:p w14:paraId="4279223A" w14:textId="77777777" w:rsidR="00A74A7E" w:rsidRPr="00A74A7E" w:rsidRDefault="00A74A7E" w:rsidP="00A74A7E">
      <w:pPr>
        <w:shd w:val="clear" w:color="auto" w:fill="FFFFFF"/>
        <w:spacing w:after="225" w:line="240" w:lineRule="auto"/>
        <w:rPr>
          <w:rFonts w:ascii="Calibri" w:eastAsia="Times New Roman" w:hAnsi="Calibri" w:cs="Calibri"/>
          <w:color w:val="262626" w:themeColor="text1" w:themeTint="D9"/>
          <w:sz w:val="24"/>
          <w:szCs w:val="24"/>
          <w:lang w:eastAsia="en-GB"/>
        </w:rPr>
      </w:pPr>
      <w:r w:rsidRPr="00A74A7E">
        <w:rPr>
          <w:rFonts w:ascii="Calibri" w:eastAsia="Times New Roman" w:hAnsi="Calibri" w:cs="Calibri"/>
          <w:b/>
          <w:bCs/>
          <w:color w:val="262626" w:themeColor="text1" w:themeTint="D9"/>
          <w:sz w:val="24"/>
          <w:szCs w:val="24"/>
          <w:lang w:eastAsia="en-GB"/>
        </w:rPr>
        <w:t>Zavod</w:t>
      </w:r>
      <w:r w:rsidRPr="00A74A7E">
        <w:rPr>
          <w:rFonts w:ascii="Calibri" w:eastAsia="Times New Roman" w:hAnsi="Calibri" w:cs="Calibri"/>
          <w:color w:val="262626" w:themeColor="text1" w:themeTint="D9"/>
          <w:sz w:val="24"/>
          <w:szCs w:val="24"/>
          <w:lang w:eastAsia="en-GB"/>
        </w:rPr>
        <w:t> lahko ustanovi fizična ali pravna oseba, pri tem pa ni pomembno število ustanovnih strank. Ustanovitelji sprejmejo </w:t>
      </w:r>
      <w:r w:rsidRPr="00A74A7E">
        <w:rPr>
          <w:rFonts w:ascii="Calibri" w:eastAsia="Times New Roman" w:hAnsi="Calibri" w:cs="Calibri"/>
          <w:b/>
          <w:bCs/>
          <w:color w:val="262626" w:themeColor="text1" w:themeTint="D9"/>
          <w:sz w:val="24"/>
          <w:szCs w:val="24"/>
          <w:lang w:eastAsia="en-GB"/>
        </w:rPr>
        <w:t>pogodbo o ustanovitvi</w:t>
      </w:r>
      <w:r w:rsidRPr="00A74A7E">
        <w:rPr>
          <w:rFonts w:ascii="Calibri" w:eastAsia="Times New Roman" w:hAnsi="Calibri" w:cs="Calibri"/>
          <w:color w:val="262626" w:themeColor="text1" w:themeTint="D9"/>
          <w:sz w:val="24"/>
          <w:szCs w:val="24"/>
          <w:lang w:eastAsia="en-GB"/>
        </w:rPr>
        <w:t> in sklep o imenovanju </w:t>
      </w:r>
      <w:r w:rsidRPr="00A74A7E">
        <w:rPr>
          <w:rFonts w:ascii="Calibri" w:eastAsia="Times New Roman" w:hAnsi="Calibri" w:cs="Calibri"/>
          <w:b/>
          <w:bCs/>
          <w:color w:val="262626" w:themeColor="text1" w:themeTint="D9"/>
          <w:sz w:val="24"/>
          <w:szCs w:val="24"/>
          <w:lang w:eastAsia="en-GB"/>
        </w:rPr>
        <w:t>direktorja</w:t>
      </w:r>
      <w:r w:rsidRPr="00A74A7E">
        <w:rPr>
          <w:rFonts w:ascii="Calibri" w:eastAsia="Times New Roman" w:hAnsi="Calibri" w:cs="Calibri"/>
          <w:color w:val="262626" w:themeColor="text1" w:themeTint="D9"/>
          <w:sz w:val="24"/>
          <w:szCs w:val="24"/>
          <w:lang w:eastAsia="en-GB"/>
        </w:rPr>
        <w:t>, ki bo zakoniti zastopnik družbe. Bistveno pri ustanovitvi zavoda je to, da se lahko ustanovi le za kataloško določeno število dejavnosti.</w:t>
      </w:r>
    </w:p>
    <w:p w14:paraId="3C22EA3B" w14:textId="3F7F1061" w:rsidR="00A74A7E" w:rsidRPr="00A74A7E" w:rsidRDefault="00A74A7E" w:rsidP="00A74A7E">
      <w:pPr>
        <w:shd w:val="clear" w:color="auto" w:fill="FFFFFF"/>
        <w:spacing w:after="225" w:line="240" w:lineRule="auto"/>
        <w:rPr>
          <w:rFonts w:ascii="Calibri" w:eastAsia="Times New Roman" w:hAnsi="Calibri" w:cs="Calibri"/>
          <w:color w:val="262626" w:themeColor="text1" w:themeTint="D9"/>
          <w:sz w:val="24"/>
          <w:szCs w:val="24"/>
          <w:lang w:eastAsia="en-GB"/>
        </w:rPr>
      </w:pPr>
      <w:r w:rsidRPr="00A74A7E">
        <w:rPr>
          <w:rFonts w:ascii="Calibri" w:eastAsia="Times New Roman" w:hAnsi="Calibri" w:cs="Calibri"/>
          <w:color w:val="262626" w:themeColor="text1" w:themeTint="D9"/>
          <w:sz w:val="24"/>
          <w:szCs w:val="24"/>
          <w:lang w:eastAsia="en-GB"/>
        </w:rPr>
        <w:t>Ustanovitev zavoda se zaključi z </w:t>
      </w:r>
      <w:r w:rsidRPr="00A74A7E">
        <w:rPr>
          <w:rFonts w:ascii="Calibri" w:eastAsia="Times New Roman" w:hAnsi="Calibri" w:cs="Calibri"/>
          <w:b/>
          <w:bCs/>
          <w:color w:val="262626" w:themeColor="text1" w:themeTint="D9"/>
          <w:sz w:val="24"/>
          <w:szCs w:val="24"/>
          <w:lang w:eastAsia="en-GB"/>
        </w:rPr>
        <w:t>vpisom v sodni register</w:t>
      </w:r>
      <w:r w:rsidRPr="00A74A7E">
        <w:rPr>
          <w:rFonts w:ascii="Calibri" w:eastAsia="Times New Roman" w:hAnsi="Calibri" w:cs="Calibri"/>
          <w:color w:val="262626" w:themeColor="text1" w:themeTint="D9"/>
          <w:sz w:val="24"/>
          <w:szCs w:val="24"/>
          <w:lang w:eastAsia="en-GB"/>
        </w:rPr>
        <w:t>. Podpise na ustanovitvenih dokumentih je potrebno overiti. Overitev podpisov je možna na upravni enoti  ali pri notarju, ki za ustanovitelje poleg overitve pripravi tudi celotno ustanovitveno dokumentacijo. Zavoda namreč ni mogoče ustanoviti v sklopu sistema eVem, ki omogoča ustanavljanje nekaterih drugih gospodarskih družb.</w:t>
      </w:r>
    </w:p>
    <w:p w14:paraId="754E2053" w14:textId="77777777" w:rsidR="00A74A7E" w:rsidRPr="00A74A7E" w:rsidRDefault="00A74A7E" w:rsidP="00A74A7E">
      <w:pPr>
        <w:shd w:val="clear" w:color="auto" w:fill="FFFFFF"/>
        <w:spacing w:before="150" w:after="150" w:line="300" w:lineRule="atLeast"/>
        <w:outlineLvl w:val="3"/>
        <w:rPr>
          <w:rFonts w:ascii="Calibri" w:eastAsia="Times New Roman" w:hAnsi="Calibri" w:cs="Calibri"/>
          <w:color w:val="262626" w:themeColor="text1" w:themeTint="D9"/>
          <w:sz w:val="24"/>
          <w:szCs w:val="24"/>
          <w:lang w:eastAsia="en-GB"/>
        </w:rPr>
      </w:pPr>
      <w:r w:rsidRPr="00A74A7E">
        <w:rPr>
          <w:rFonts w:ascii="Calibri" w:eastAsia="Times New Roman" w:hAnsi="Calibri" w:cs="Calibri"/>
          <w:color w:val="262626" w:themeColor="text1" w:themeTint="D9"/>
          <w:sz w:val="24"/>
          <w:szCs w:val="24"/>
          <w:lang w:eastAsia="en-GB"/>
        </w:rPr>
        <w:t>Obdavčitev zavoda</w:t>
      </w:r>
    </w:p>
    <w:p w14:paraId="513AFBE6" w14:textId="1A1B66EA" w:rsidR="00A74A7E" w:rsidRPr="00A74A7E" w:rsidRDefault="00A74A7E" w:rsidP="00A74A7E">
      <w:pPr>
        <w:shd w:val="clear" w:color="auto" w:fill="FFFFFF"/>
        <w:spacing w:after="225" w:line="240" w:lineRule="auto"/>
        <w:rPr>
          <w:rFonts w:ascii="Calibri" w:eastAsia="Times New Roman" w:hAnsi="Calibri" w:cs="Calibri"/>
          <w:color w:val="262626" w:themeColor="text1" w:themeTint="D9"/>
          <w:sz w:val="24"/>
          <w:szCs w:val="24"/>
          <w:lang w:eastAsia="en-GB"/>
        </w:rPr>
      </w:pPr>
      <w:r w:rsidRPr="00A74A7E">
        <w:rPr>
          <w:rFonts w:ascii="Calibri" w:eastAsia="Times New Roman" w:hAnsi="Calibri" w:cs="Calibri"/>
          <w:color w:val="262626" w:themeColor="text1" w:themeTint="D9"/>
          <w:sz w:val="24"/>
          <w:szCs w:val="24"/>
          <w:lang w:eastAsia="en-GB"/>
        </w:rPr>
        <w:t>Podobno kot velja za društva, velja tudi za zavode. V kolikor je bil dobiček ustvarjen z opravljanjem nepridobitne dejavnosti, ni obdavčen, sicer pa je obdavčen kot druge pravne osebe, ki opravljajo gospodarsko dejavnost. Dobiček se torej razdeli glede na naravo dejavnosti, t.j pridobitne in nepridobitne, obdavči pa se zgolj dobiček, ki je bil pridobljen z opravljanjem pridobitne dejavnosti, po 19-odstotni davčni stopnji.</w:t>
      </w:r>
    </w:p>
    <w:p w14:paraId="44137393" w14:textId="77777777" w:rsidR="00294738" w:rsidRDefault="00294738"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408501FF" w14:textId="77777777" w:rsidR="00294738" w:rsidRDefault="00294738"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2B254842" w14:textId="056FA0C0" w:rsidR="00294738" w:rsidRDefault="00294738"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267694A8" w14:textId="2E31BFA2" w:rsidR="00D13803" w:rsidRDefault="00D13803"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45917215" w14:textId="77D26D5C" w:rsidR="00D13803" w:rsidRDefault="00D13803"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5EBA6B8A" w14:textId="30BC768F" w:rsidR="00D13803" w:rsidRDefault="00D13803"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491D153B" w14:textId="7BC444A2" w:rsidR="00D13803" w:rsidRDefault="00D13803"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3389F0A4" w14:textId="4DE18BBC" w:rsidR="00D13803" w:rsidRDefault="00D13803"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60BA8210" w14:textId="77777777" w:rsidR="00D13803" w:rsidRDefault="00D13803"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7154AFCF" w14:textId="77777777" w:rsidR="00294738" w:rsidRDefault="00294738"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149C9856" w14:textId="77777777" w:rsidR="00294738" w:rsidRDefault="00294738"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7655B2CF" w14:textId="77777777" w:rsidR="00294738" w:rsidRDefault="00294738"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7E993371" w14:textId="77777777" w:rsidR="00294738" w:rsidRDefault="00294738"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7138B1C6" w14:textId="77777777" w:rsidR="00294738" w:rsidRDefault="00294738"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1BA11DD3" w14:textId="77777777" w:rsidR="00294738" w:rsidRDefault="00294738"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59E93CFD" w14:textId="77777777" w:rsidR="00294738" w:rsidRDefault="00294738"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15514F65" w14:textId="77777777" w:rsidR="00294738" w:rsidRDefault="00294738"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4E3484BA" w14:textId="77777777" w:rsidR="00294738" w:rsidRDefault="00294738"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2FA28913" w14:textId="77777777" w:rsidR="00294738" w:rsidRDefault="00294738"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06D7B7B2" w14:textId="77777777" w:rsidR="00294738" w:rsidRDefault="00294738"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149E8F7F" w14:textId="0CDC9F4B" w:rsidR="00A74A7E" w:rsidRDefault="00A74A7E"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r>
        <w:rPr>
          <w:rFonts w:ascii="Calibri" w:hAnsi="Calibri" w:cs="Calibri"/>
          <w:b/>
          <w:bCs/>
          <w:i/>
          <w:iCs/>
          <w:color w:val="262626" w:themeColor="text1" w:themeTint="D9"/>
          <w:sz w:val="24"/>
          <w:szCs w:val="24"/>
          <w:u w:val="single"/>
        </w:rPr>
        <w:t xml:space="preserve">RAZLIKE MED DRUŠTVOM IN ZAVODOM </w:t>
      </w:r>
    </w:p>
    <w:p w14:paraId="2EA0FCB7" w14:textId="710BC1C2" w:rsidR="00A74A7E" w:rsidRDefault="00A74A7E"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tbl>
      <w:tblPr>
        <w:tblStyle w:val="Tabelamrea"/>
        <w:tblW w:w="0" w:type="auto"/>
        <w:tblLook w:val="04A0" w:firstRow="1" w:lastRow="0" w:firstColumn="1" w:lastColumn="0" w:noHBand="0" w:noVBand="1"/>
      </w:tblPr>
      <w:tblGrid>
        <w:gridCol w:w="2405"/>
        <w:gridCol w:w="3649"/>
        <w:gridCol w:w="3008"/>
      </w:tblGrid>
      <w:tr w:rsidR="00A74A7E" w14:paraId="59453A26" w14:textId="77777777" w:rsidTr="00294738">
        <w:tc>
          <w:tcPr>
            <w:tcW w:w="2405" w:type="dxa"/>
          </w:tcPr>
          <w:p w14:paraId="7636FBA3" w14:textId="77777777" w:rsidR="00A74A7E" w:rsidRDefault="00A74A7E" w:rsidP="001F2CF9">
            <w:pPr>
              <w:autoSpaceDE w:val="0"/>
              <w:autoSpaceDN w:val="0"/>
              <w:adjustRightInd w:val="0"/>
              <w:rPr>
                <w:rFonts w:ascii="Calibri" w:hAnsi="Calibri" w:cs="Calibri"/>
                <w:b/>
                <w:bCs/>
                <w:i/>
                <w:iCs/>
                <w:color w:val="262626" w:themeColor="text1" w:themeTint="D9"/>
                <w:sz w:val="24"/>
                <w:szCs w:val="24"/>
                <w:u w:val="single"/>
              </w:rPr>
            </w:pPr>
          </w:p>
        </w:tc>
        <w:tc>
          <w:tcPr>
            <w:tcW w:w="3649" w:type="dxa"/>
          </w:tcPr>
          <w:p w14:paraId="3660997F" w14:textId="7F3F9B48" w:rsidR="00A74A7E" w:rsidRDefault="00A74A7E" w:rsidP="00A74A7E">
            <w:pPr>
              <w:autoSpaceDE w:val="0"/>
              <w:autoSpaceDN w:val="0"/>
              <w:adjustRightInd w:val="0"/>
              <w:jc w:val="center"/>
              <w:rPr>
                <w:rFonts w:ascii="Calibri" w:hAnsi="Calibri" w:cs="Calibri"/>
                <w:b/>
                <w:bCs/>
                <w:i/>
                <w:iCs/>
                <w:color w:val="262626" w:themeColor="text1" w:themeTint="D9"/>
                <w:sz w:val="24"/>
                <w:szCs w:val="24"/>
                <w:u w:val="single"/>
              </w:rPr>
            </w:pPr>
            <w:r>
              <w:rPr>
                <w:rFonts w:ascii="Calibri" w:hAnsi="Calibri" w:cs="Calibri"/>
                <w:b/>
                <w:bCs/>
                <w:i/>
                <w:iCs/>
                <w:color w:val="262626" w:themeColor="text1" w:themeTint="D9"/>
                <w:sz w:val="24"/>
                <w:szCs w:val="24"/>
                <w:u w:val="single"/>
              </w:rPr>
              <w:t>DRUŠTVO</w:t>
            </w:r>
          </w:p>
        </w:tc>
        <w:tc>
          <w:tcPr>
            <w:tcW w:w="3008" w:type="dxa"/>
          </w:tcPr>
          <w:p w14:paraId="32ED6B96" w14:textId="460CF212" w:rsidR="00A74A7E" w:rsidRDefault="00A74A7E" w:rsidP="00A74A7E">
            <w:pPr>
              <w:autoSpaceDE w:val="0"/>
              <w:autoSpaceDN w:val="0"/>
              <w:adjustRightInd w:val="0"/>
              <w:jc w:val="center"/>
              <w:rPr>
                <w:rFonts w:ascii="Calibri" w:hAnsi="Calibri" w:cs="Calibri"/>
                <w:b/>
                <w:bCs/>
                <w:i/>
                <w:iCs/>
                <w:color w:val="262626" w:themeColor="text1" w:themeTint="D9"/>
                <w:sz w:val="24"/>
                <w:szCs w:val="24"/>
                <w:u w:val="single"/>
              </w:rPr>
            </w:pPr>
            <w:r>
              <w:rPr>
                <w:rFonts w:ascii="Calibri" w:hAnsi="Calibri" w:cs="Calibri"/>
                <w:b/>
                <w:bCs/>
                <w:i/>
                <w:iCs/>
                <w:color w:val="262626" w:themeColor="text1" w:themeTint="D9"/>
                <w:sz w:val="24"/>
                <w:szCs w:val="24"/>
                <w:u w:val="single"/>
              </w:rPr>
              <w:t>ZAVOD</w:t>
            </w:r>
          </w:p>
        </w:tc>
      </w:tr>
      <w:tr w:rsidR="00A74A7E" w14:paraId="41C6F8AC" w14:textId="77777777" w:rsidTr="00294738">
        <w:tc>
          <w:tcPr>
            <w:tcW w:w="2405" w:type="dxa"/>
          </w:tcPr>
          <w:p w14:paraId="4FD4A9C8" w14:textId="67D389EF" w:rsidR="00A74A7E" w:rsidRPr="00294738" w:rsidRDefault="00A74A7E" w:rsidP="001F2CF9">
            <w:pPr>
              <w:autoSpaceDE w:val="0"/>
              <w:autoSpaceDN w:val="0"/>
              <w:adjustRightInd w:val="0"/>
              <w:rPr>
                <w:rFonts w:ascii="Calibri" w:hAnsi="Calibri" w:cs="Calibri"/>
                <w:b/>
                <w:bCs/>
                <w:color w:val="262626" w:themeColor="text1" w:themeTint="D9"/>
                <w:sz w:val="24"/>
                <w:szCs w:val="24"/>
              </w:rPr>
            </w:pPr>
            <w:r w:rsidRPr="00294738">
              <w:rPr>
                <w:rFonts w:ascii="Calibri" w:hAnsi="Calibri" w:cs="Calibri"/>
                <w:b/>
                <w:bCs/>
                <w:color w:val="262626" w:themeColor="text1" w:themeTint="D9"/>
                <w:sz w:val="24"/>
                <w:szCs w:val="24"/>
              </w:rPr>
              <w:t xml:space="preserve">Ime </w:t>
            </w:r>
          </w:p>
        </w:tc>
        <w:tc>
          <w:tcPr>
            <w:tcW w:w="3649" w:type="dxa"/>
          </w:tcPr>
          <w:p w14:paraId="2C823FAA" w14:textId="7B4E8415" w:rsidR="00A74A7E" w:rsidRPr="00294738" w:rsidRDefault="00294738" w:rsidP="001F2CF9">
            <w:pPr>
              <w:autoSpaceDE w:val="0"/>
              <w:autoSpaceDN w:val="0"/>
              <w:adjustRightInd w:val="0"/>
              <w:rPr>
                <w:rFonts w:ascii="Calibri" w:hAnsi="Calibri" w:cs="Calibri"/>
                <w:color w:val="262626" w:themeColor="text1" w:themeTint="D9"/>
                <w:sz w:val="24"/>
                <w:szCs w:val="24"/>
              </w:rPr>
            </w:pPr>
            <w:r>
              <w:rPr>
                <w:rFonts w:ascii="Calibri" w:hAnsi="Calibri" w:cs="Calibri"/>
                <w:color w:val="262626" w:themeColor="text1" w:themeTint="D9"/>
                <w:sz w:val="24"/>
                <w:szCs w:val="24"/>
              </w:rPr>
              <w:t>Društvo, klub, združenje, družina</w:t>
            </w:r>
          </w:p>
        </w:tc>
        <w:tc>
          <w:tcPr>
            <w:tcW w:w="3008" w:type="dxa"/>
          </w:tcPr>
          <w:p w14:paraId="1BD126B7" w14:textId="3907F45C" w:rsidR="00A74A7E" w:rsidRPr="00294738" w:rsidRDefault="00294738" w:rsidP="001F2CF9">
            <w:pPr>
              <w:autoSpaceDE w:val="0"/>
              <w:autoSpaceDN w:val="0"/>
              <w:adjustRightInd w:val="0"/>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Zavod, inštitut, akademija, zbornica, sindikat </w:t>
            </w:r>
          </w:p>
        </w:tc>
      </w:tr>
      <w:tr w:rsidR="00A74A7E" w14:paraId="4272747C" w14:textId="77777777" w:rsidTr="00294738">
        <w:tc>
          <w:tcPr>
            <w:tcW w:w="2405" w:type="dxa"/>
          </w:tcPr>
          <w:p w14:paraId="093EAF30" w14:textId="6F5ECDFA" w:rsidR="00A74A7E" w:rsidRPr="00294738" w:rsidRDefault="00A74A7E" w:rsidP="001F2CF9">
            <w:pPr>
              <w:autoSpaceDE w:val="0"/>
              <w:autoSpaceDN w:val="0"/>
              <w:adjustRightInd w:val="0"/>
              <w:rPr>
                <w:rFonts w:ascii="Calibri" w:hAnsi="Calibri" w:cs="Calibri"/>
                <w:b/>
                <w:bCs/>
                <w:color w:val="262626" w:themeColor="text1" w:themeTint="D9"/>
                <w:sz w:val="24"/>
                <w:szCs w:val="24"/>
              </w:rPr>
            </w:pPr>
            <w:r w:rsidRPr="00294738">
              <w:rPr>
                <w:rFonts w:ascii="Calibri" w:hAnsi="Calibri" w:cs="Calibri"/>
                <w:b/>
                <w:bCs/>
                <w:color w:val="262626" w:themeColor="text1" w:themeTint="D9"/>
                <w:sz w:val="24"/>
                <w:szCs w:val="24"/>
              </w:rPr>
              <w:t>Število ustanoviteljev</w:t>
            </w:r>
          </w:p>
        </w:tc>
        <w:tc>
          <w:tcPr>
            <w:tcW w:w="3649" w:type="dxa"/>
          </w:tcPr>
          <w:p w14:paraId="44D3699A" w14:textId="3E92C5CB" w:rsidR="00A74A7E" w:rsidRPr="00294738" w:rsidRDefault="00294738" w:rsidP="001F2CF9">
            <w:pPr>
              <w:autoSpaceDE w:val="0"/>
              <w:autoSpaceDN w:val="0"/>
              <w:adjustRightInd w:val="0"/>
              <w:rPr>
                <w:rFonts w:ascii="Calibri" w:hAnsi="Calibri" w:cs="Calibri"/>
                <w:color w:val="262626" w:themeColor="text1" w:themeTint="D9"/>
                <w:sz w:val="24"/>
                <w:szCs w:val="24"/>
              </w:rPr>
            </w:pPr>
            <w:r>
              <w:rPr>
                <w:rFonts w:ascii="Calibri" w:hAnsi="Calibri" w:cs="Calibri"/>
                <w:color w:val="262626" w:themeColor="text1" w:themeTint="D9"/>
                <w:sz w:val="24"/>
                <w:szCs w:val="24"/>
                <w:shd w:val="clear" w:color="auto" w:fill="FFFFFF"/>
              </w:rPr>
              <w:t>N</w:t>
            </w:r>
            <w:r w:rsidRPr="00294738">
              <w:rPr>
                <w:rFonts w:ascii="Calibri" w:hAnsi="Calibri" w:cs="Calibri"/>
                <w:color w:val="262626" w:themeColor="text1" w:themeTint="D9"/>
                <w:sz w:val="24"/>
                <w:szCs w:val="24"/>
                <w:shd w:val="clear" w:color="auto" w:fill="FFFFFF"/>
              </w:rPr>
              <w:t>ajmanj tri fizične ali pravne osebe</w:t>
            </w:r>
          </w:p>
        </w:tc>
        <w:tc>
          <w:tcPr>
            <w:tcW w:w="3008" w:type="dxa"/>
          </w:tcPr>
          <w:p w14:paraId="7D871661" w14:textId="5294CC35" w:rsidR="00A74A7E" w:rsidRPr="00294738" w:rsidRDefault="00294738" w:rsidP="001F2CF9">
            <w:pPr>
              <w:autoSpaceDE w:val="0"/>
              <w:autoSpaceDN w:val="0"/>
              <w:adjustRightInd w:val="0"/>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Lahko samo ena fizična ali pravna oseba </w:t>
            </w:r>
          </w:p>
        </w:tc>
      </w:tr>
      <w:tr w:rsidR="00A74A7E" w14:paraId="2C972101" w14:textId="77777777" w:rsidTr="00294738">
        <w:tc>
          <w:tcPr>
            <w:tcW w:w="2405" w:type="dxa"/>
          </w:tcPr>
          <w:p w14:paraId="3BEB8C98" w14:textId="6BA06977" w:rsidR="00A74A7E" w:rsidRPr="00294738" w:rsidRDefault="00294738" w:rsidP="001F2CF9">
            <w:pPr>
              <w:autoSpaceDE w:val="0"/>
              <w:autoSpaceDN w:val="0"/>
              <w:adjustRightInd w:val="0"/>
              <w:rPr>
                <w:rFonts w:ascii="Calibri" w:hAnsi="Calibri" w:cs="Calibri"/>
                <w:b/>
                <w:bCs/>
                <w:color w:val="262626" w:themeColor="text1" w:themeTint="D9"/>
                <w:sz w:val="24"/>
                <w:szCs w:val="24"/>
              </w:rPr>
            </w:pPr>
            <w:r w:rsidRPr="00294738">
              <w:rPr>
                <w:rFonts w:ascii="Calibri" w:hAnsi="Calibri" w:cs="Calibri"/>
                <w:b/>
                <w:bCs/>
                <w:color w:val="262626" w:themeColor="text1" w:themeTint="D9"/>
                <w:sz w:val="24"/>
                <w:szCs w:val="24"/>
              </w:rPr>
              <w:t>Ustanovni kapital</w:t>
            </w:r>
          </w:p>
        </w:tc>
        <w:tc>
          <w:tcPr>
            <w:tcW w:w="3649" w:type="dxa"/>
          </w:tcPr>
          <w:p w14:paraId="567D6B00" w14:textId="174E4A04" w:rsidR="00A74A7E" w:rsidRPr="00294738" w:rsidRDefault="00294738" w:rsidP="001F2CF9">
            <w:pPr>
              <w:autoSpaceDE w:val="0"/>
              <w:autoSpaceDN w:val="0"/>
              <w:adjustRightInd w:val="0"/>
              <w:rPr>
                <w:rFonts w:ascii="Calibri" w:hAnsi="Calibri" w:cs="Calibri"/>
                <w:color w:val="262626" w:themeColor="text1" w:themeTint="D9"/>
                <w:sz w:val="24"/>
                <w:szCs w:val="24"/>
              </w:rPr>
            </w:pPr>
            <w:r>
              <w:rPr>
                <w:rFonts w:ascii="Calibri" w:hAnsi="Calibri" w:cs="Calibri"/>
                <w:color w:val="262626" w:themeColor="text1" w:themeTint="D9"/>
                <w:sz w:val="24"/>
                <w:szCs w:val="24"/>
              </w:rPr>
              <w:t>Ni zahtevan</w:t>
            </w:r>
          </w:p>
        </w:tc>
        <w:tc>
          <w:tcPr>
            <w:tcW w:w="3008" w:type="dxa"/>
          </w:tcPr>
          <w:p w14:paraId="247EB94A" w14:textId="138E1AA8" w:rsidR="00A74A7E" w:rsidRPr="00294738" w:rsidRDefault="00294738" w:rsidP="001F2CF9">
            <w:pPr>
              <w:autoSpaceDE w:val="0"/>
              <w:autoSpaceDN w:val="0"/>
              <w:adjustRightInd w:val="0"/>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Nujen, tolikšen, da omogoči ustanovitev in začetek dela zavoda, navadno zadošča 100,00 Euro na ustanovitelja </w:t>
            </w:r>
          </w:p>
        </w:tc>
      </w:tr>
      <w:tr w:rsidR="00A74A7E" w14:paraId="21F2897D" w14:textId="77777777" w:rsidTr="00294738">
        <w:tc>
          <w:tcPr>
            <w:tcW w:w="2405" w:type="dxa"/>
          </w:tcPr>
          <w:p w14:paraId="3CD9E407" w14:textId="490FA2A6" w:rsidR="00A74A7E" w:rsidRPr="00294738" w:rsidRDefault="00294738" w:rsidP="001F2CF9">
            <w:pPr>
              <w:autoSpaceDE w:val="0"/>
              <w:autoSpaceDN w:val="0"/>
              <w:adjustRightInd w:val="0"/>
              <w:rPr>
                <w:rFonts w:ascii="Calibri" w:hAnsi="Calibri" w:cs="Calibri"/>
                <w:b/>
                <w:bCs/>
                <w:color w:val="262626" w:themeColor="text1" w:themeTint="D9"/>
                <w:sz w:val="24"/>
                <w:szCs w:val="24"/>
              </w:rPr>
            </w:pPr>
            <w:r w:rsidRPr="00294738">
              <w:rPr>
                <w:rFonts w:ascii="Calibri" w:hAnsi="Calibri" w:cs="Calibri"/>
                <w:b/>
                <w:bCs/>
                <w:color w:val="262626" w:themeColor="text1" w:themeTint="D9"/>
                <w:sz w:val="24"/>
                <w:szCs w:val="24"/>
              </w:rPr>
              <w:t>Strošk ustanovitve</w:t>
            </w:r>
          </w:p>
        </w:tc>
        <w:tc>
          <w:tcPr>
            <w:tcW w:w="3649" w:type="dxa"/>
          </w:tcPr>
          <w:p w14:paraId="0E0DB105" w14:textId="68BD482B" w:rsidR="00A74A7E" w:rsidRPr="00294738" w:rsidRDefault="00294738" w:rsidP="001F2CF9">
            <w:pPr>
              <w:autoSpaceDE w:val="0"/>
              <w:autoSpaceDN w:val="0"/>
              <w:adjustRightInd w:val="0"/>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Brezplačno </w:t>
            </w:r>
          </w:p>
        </w:tc>
        <w:tc>
          <w:tcPr>
            <w:tcW w:w="3008" w:type="dxa"/>
          </w:tcPr>
          <w:p w14:paraId="3E4CC371" w14:textId="6BD989F3" w:rsidR="00A74A7E" w:rsidRPr="00294738" w:rsidRDefault="00294738" w:rsidP="001F2CF9">
            <w:pPr>
              <w:autoSpaceDE w:val="0"/>
              <w:autoSpaceDN w:val="0"/>
              <w:adjustRightInd w:val="0"/>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Stroški overitve podpisov na UE </w:t>
            </w:r>
          </w:p>
        </w:tc>
      </w:tr>
      <w:tr w:rsidR="00A74A7E" w14:paraId="0667C841" w14:textId="77777777" w:rsidTr="00294738">
        <w:tc>
          <w:tcPr>
            <w:tcW w:w="2405" w:type="dxa"/>
          </w:tcPr>
          <w:p w14:paraId="7091462A" w14:textId="7258B352" w:rsidR="00A74A7E" w:rsidRPr="00294738" w:rsidRDefault="00294738" w:rsidP="001F2CF9">
            <w:pPr>
              <w:autoSpaceDE w:val="0"/>
              <w:autoSpaceDN w:val="0"/>
              <w:adjustRightInd w:val="0"/>
              <w:rPr>
                <w:rFonts w:ascii="Calibri" w:hAnsi="Calibri" w:cs="Calibri"/>
                <w:b/>
                <w:bCs/>
                <w:color w:val="262626" w:themeColor="text1" w:themeTint="D9"/>
                <w:sz w:val="24"/>
                <w:szCs w:val="24"/>
              </w:rPr>
            </w:pPr>
            <w:r w:rsidRPr="00294738">
              <w:rPr>
                <w:rFonts w:ascii="Calibri" w:hAnsi="Calibri" w:cs="Calibri"/>
                <w:b/>
                <w:bCs/>
                <w:color w:val="262626" w:themeColor="text1" w:themeTint="D9"/>
                <w:sz w:val="24"/>
                <w:szCs w:val="24"/>
              </w:rPr>
              <w:t>Registrski organ</w:t>
            </w:r>
          </w:p>
        </w:tc>
        <w:tc>
          <w:tcPr>
            <w:tcW w:w="3649" w:type="dxa"/>
          </w:tcPr>
          <w:p w14:paraId="103DBD96" w14:textId="2E227D3D" w:rsidR="00A74A7E" w:rsidRPr="00294738" w:rsidRDefault="00294738" w:rsidP="001F2CF9">
            <w:pPr>
              <w:autoSpaceDE w:val="0"/>
              <w:autoSpaceDN w:val="0"/>
              <w:adjustRightInd w:val="0"/>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Krajevna pristojna upravna enota </w:t>
            </w:r>
          </w:p>
        </w:tc>
        <w:tc>
          <w:tcPr>
            <w:tcW w:w="3008" w:type="dxa"/>
          </w:tcPr>
          <w:p w14:paraId="2B9ECE94" w14:textId="4FB284E0" w:rsidR="00A74A7E" w:rsidRPr="00294738" w:rsidRDefault="00294738" w:rsidP="001F2CF9">
            <w:pPr>
              <w:autoSpaceDE w:val="0"/>
              <w:autoSpaceDN w:val="0"/>
              <w:adjustRightInd w:val="0"/>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Krajevno pristojen sodni register </w:t>
            </w:r>
          </w:p>
        </w:tc>
      </w:tr>
      <w:tr w:rsidR="00A74A7E" w14:paraId="4D19D314" w14:textId="77777777" w:rsidTr="00294738">
        <w:tc>
          <w:tcPr>
            <w:tcW w:w="2405" w:type="dxa"/>
          </w:tcPr>
          <w:p w14:paraId="567A19D6" w14:textId="7856AEC7" w:rsidR="00A74A7E" w:rsidRPr="00294738" w:rsidRDefault="00294738" w:rsidP="001F2CF9">
            <w:pPr>
              <w:autoSpaceDE w:val="0"/>
              <w:autoSpaceDN w:val="0"/>
              <w:adjustRightInd w:val="0"/>
              <w:rPr>
                <w:rFonts w:ascii="Calibri" w:hAnsi="Calibri" w:cs="Calibri"/>
                <w:b/>
                <w:bCs/>
                <w:color w:val="262626" w:themeColor="text1" w:themeTint="D9"/>
                <w:sz w:val="24"/>
                <w:szCs w:val="24"/>
              </w:rPr>
            </w:pPr>
            <w:r w:rsidRPr="00294738">
              <w:rPr>
                <w:rFonts w:ascii="Calibri" w:hAnsi="Calibri" w:cs="Calibri"/>
                <w:b/>
                <w:bCs/>
                <w:color w:val="262626" w:themeColor="text1" w:themeTint="D9"/>
                <w:sz w:val="24"/>
                <w:szCs w:val="24"/>
              </w:rPr>
              <w:t xml:space="preserve">Opravljanje pridobitne dejavnosti </w:t>
            </w:r>
          </w:p>
        </w:tc>
        <w:tc>
          <w:tcPr>
            <w:tcW w:w="3649" w:type="dxa"/>
          </w:tcPr>
          <w:p w14:paraId="253E17BC" w14:textId="21A908FD" w:rsidR="00A74A7E" w:rsidRPr="00294738" w:rsidRDefault="00294738" w:rsidP="001F2CF9">
            <w:pPr>
              <w:autoSpaceDE w:val="0"/>
              <w:autoSpaceDN w:val="0"/>
              <w:adjustRightInd w:val="0"/>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Pridobitna dejavnost se lahko opravlja le z razlogom financiranja nepridobitnih dejavnosti </w:t>
            </w:r>
          </w:p>
        </w:tc>
        <w:tc>
          <w:tcPr>
            <w:tcW w:w="3008" w:type="dxa"/>
          </w:tcPr>
          <w:p w14:paraId="5A215DD6" w14:textId="7303A386" w:rsidR="00A74A7E" w:rsidRPr="00294738" w:rsidRDefault="00294738" w:rsidP="001F2CF9">
            <w:pPr>
              <w:autoSpaceDE w:val="0"/>
              <w:autoSpaceDN w:val="0"/>
              <w:adjustRightInd w:val="0"/>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Pridobitna dejavnost se lahko opravlja le v sklopu registrirane dejavnosti </w:t>
            </w:r>
          </w:p>
        </w:tc>
      </w:tr>
      <w:tr w:rsidR="00A74A7E" w14:paraId="48CF1686" w14:textId="77777777" w:rsidTr="00294738">
        <w:tc>
          <w:tcPr>
            <w:tcW w:w="2405" w:type="dxa"/>
          </w:tcPr>
          <w:p w14:paraId="72C3752A" w14:textId="45196544" w:rsidR="00A74A7E" w:rsidRPr="00294738" w:rsidRDefault="00294738" w:rsidP="001F2CF9">
            <w:pPr>
              <w:autoSpaceDE w:val="0"/>
              <w:autoSpaceDN w:val="0"/>
              <w:adjustRightInd w:val="0"/>
              <w:rPr>
                <w:rFonts w:ascii="Calibri" w:hAnsi="Calibri" w:cs="Calibri"/>
                <w:b/>
                <w:bCs/>
                <w:color w:val="262626" w:themeColor="text1" w:themeTint="D9"/>
                <w:sz w:val="24"/>
                <w:szCs w:val="24"/>
              </w:rPr>
            </w:pPr>
            <w:r w:rsidRPr="00294738">
              <w:rPr>
                <w:rFonts w:ascii="Calibri" w:hAnsi="Calibri" w:cs="Calibri"/>
                <w:b/>
                <w:bCs/>
                <w:color w:val="262626" w:themeColor="text1" w:themeTint="D9"/>
                <w:sz w:val="24"/>
                <w:szCs w:val="24"/>
              </w:rPr>
              <w:t xml:space="preserve">Odgovornos za poslovanje </w:t>
            </w:r>
          </w:p>
        </w:tc>
        <w:tc>
          <w:tcPr>
            <w:tcW w:w="3649" w:type="dxa"/>
          </w:tcPr>
          <w:p w14:paraId="4F72B05D" w14:textId="2DAC0380" w:rsidR="00A74A7E" w:rsidRPr="00294738" w:rsidRDefault="00294738" w:rsidP="001F2CF9">
            <w:pPr>
              <w:autoSpaceDE w:val="0"/>
              <w:autoSpaceDN w:val="0"/>
              <w:adjustRightInd w:val="0"/>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Društvo in odgovorne osebe solidarno z vsem svojim premoženjem </w:t>
            </w:r>
          </w:p>
        </w:tc>
        <w:tc>
          <w:tcPr>
            <w:tcW w:w="3008" w:type="dxa"/>
          </w:tcPr>
          <w:p w14:paraId="7DE4AD08" w14:textId="7FF6BFDF" w:rsidR="00A74A7E" w:rsidRPr="00CE1622" w:rsidRDefault="00CE1622" w:rsidP="001F2CF9">
            <w:pPr>
              <w:autoSpaceDE w:val="0"/>
              <w:autoSpaceDN w:val="0"/>
              <w:adjustRightInd w:val="0"/>
              <w:rPr>
                <w:rFonts w:ascii="Calibri" w:hAnsi="Calibri" w:cs="Calibri"/>
                <w:color w:val="262626" w:themeColor="text1" w:themeTint="D9"/>
                <w:sz w:val="24"/>
                <w:szCs w:val="24"/>
              </w:rPr>
            </w:pPr>
            <w:r>
              <w:rPr>
                <w:rFonts w:ascii="Calibri" w:hAnsi="Calibri" w:cs="Calibri"/>
                <w:color w:val="262626" w:themeColor="text1" w:themeTint="D9"/>
                <w:sz w:val="24"/>
                <w:szCs w:val="24"/>
                <w:shd w:val="clear" w:color="auto" w:fill="F9F9F9"/>
              </w:rPr>
              <w:t>Z</w:t>
            </w:r>
            <w:r w:rsidR="00294738" w:rsidRPr="00CE1622">
              <w:rPr>
                <w:rFonts w:ascii="Calibri" w:hAnsi="Calibri" w:cs="Calibri"/>
                <w:color w:val="262626" w:themeColor="text1" w:themeTint="D9"/>
                <w:sz w:val="24"/>
                <w:szCs w:val="24"/>
                <w:shd w:val="clear" w:color="auto" w:fill="F9F9F9"/>
              </w:rPr>
              <w:t>avod z vsem svojim premoženjem, tudi ustanovitelj(i), razen če ustanovni akt ne določi drugače (= “Ustanovitelji za obveznosti zavoda ne odgovarjajo.”)</w:t>
            </w:r>
          </w:p>
        </w:tc>
      </w:tr>
      <w:tr w:rsidR="00A74A7E" w14:paraId="30AA0641" w14:textId="77777777" w:rsidTr="00294738">
        <w:tc>
          <w:tcPr>
            <w:tcW w:w="2405" w:type="dxa"/>
          </w:tcPr>
          <w:p w14:paraId="4B9FEE04" w14:textId="71631BB8" w:rsidR="00A74A7E" w:rsidRPr="00294738" w:rsidRDefault="00294738" w:rsidP="001F2CF9">
            <w:pPr>
              <w:autoSpaceDE w:val="0"/>
              <w:autoSpaceDN w:val="0"/>
              <w:adjustRightInd w:val="0"/>
              <w:rPr>
                <w:rFonts w:ascii="Calibri" w:hAnsi="Calibri" w:cs="Calibri"/>
                <w:b/>
                <w:bCs/>
                <w:color w:val="262626" w:themeColor="text1" w:themeTint="D9"/>
                <w:sz w:val="24"/>
                <w:szCs w:val="24"/>
              </w:rPr>
            </w:pPr>
            <w:r w:rsidRPr="00294738">
              <w:rPr>
                <w:rFonts w:ascii="Calibri" w:hAnsi="Calibri" w:cs="Calibri"/>
                <w:b/>
                <w:bCs/>
                <w:color w:val="262626" w:themeColor="text1" w:themeTint="D9"/>
                <w:sz w:val="24"/>
                <w:szCs w:val="24"/>
              </w:rPr>
              <w:t xml:space="preserve">Delitev dobička </w:t>
            </w:r>
          </w:p>
        </w:tc>
        <w:tc>
          <w:tcPr>
            <w:tcW w:w="3649" w:type="dxa"/>
          </w:tcPr>
          <w:p w14:paraId="517AF967" w14:textId="4C7C496F" w:rsidR="00A74A7E" w:rsidRPr="00294738" w:rsidRDefault="00294738" w:rsidP="001F2CF9">
            <w:pPr>
              <w:autoSpaceDE w:val="0"/>
              <w:autoSpaceDN w:val="0"/>
              <w:adjustRightInd w:val="0"/>
              <w:rPr>
                <w:rFonts w:ascii="Calibri" w:hAnsi="Calibri" w:cs="Calibri"/>
                <w:color w:val="262626" w:themeColor="text1" w:themeTint="D9"/>
                <w:sz w:val="24"/>
                <w:szCs w:val="24"/>
              </w:rPr>
            </w:pPr>
            <w:r>
              <w:rPr>
                <w:rFonts w:ascii="Calibri" w:hAnsi="Calibri" w:cs="Calibri"/>
                <w:color w:val="262626" w:themeColor="text1" w:themeTint="D9"/>
                <w:sz w:val="24"/>
                <w:szCs w:val="24"/>
              </w:rPr>
              <w:t>Delitev dobička med člane društva je prepovedana</w:t>
            </w:r>
          </w:p>
        </w:tc>
        <w:tc>
          <w:tcPr>
            <w:tcW w:w="3008" w:type="dxa"/>
          </w:tcPr>
          <w:p w14:paraId="75BEB81C" w14:textId="25F258F8" w:rsidR="00A74A7E" w:rsidRPr="00CE1622" w:rsidRDefault="00CE1622" w:rsidP="001F2CF9">
            <w:pPr>
              <w:autoSpaceDE w:val="0"/>
              <w:autoSpaceDN w:val="0"/>
              <w:adjustRightInd w:val="0"/>
              <w:rPr>
                <w:rFonts w:ascii="Calibri" w:hAnsi="Calibri" w:cs="Calibri"/>
                <w:color w:val="262626" w:themeColor="text1" w:themeTint="D9"/>
                <w:sz w:val="24"/>
                <w:szCs w:val="24"/>
              </w:rPr>
            </w:pPr>
            <w:r w:rsidRPr="00CE1622">
              <w:rPr>
                <w:rFonts w:ascii="Calibri" w:hAnsi="Calibri" w:cs="Calibri"/>
                <w:color w:val="555555"/>
                <w:sz w:val="24"/>
                <w:szCs w:val="24"/>
                <w:shd w:val="clear" w:color="auto" w:fill="FFFFFF"/>
              </w:rPr>
              <w:t>Delitev dobička med ustanovitelje je dovoljena, vendar samo, če ustanovitveni akt to izrecno določa</w:t>
            </w:r>
            <w:r>
              <w:rPr>
                <w:rFonts w:ascii="Calibri" w:hAnsi="Calibri" w:cs="Calibri"/>
                <w:color w:val="555555"/>
                <w:sz w:val="24"/>
                <w:szCs w:val="24"/>
                <w:shd w:val="clear" w:color="auto" w:fill="FFFFFF"/>
              </w:rPr>
              <w:t>.</w:t>
            </w:r>
          </w:p>
        </w:tc>
      </w:tr>
      <w:tr w:rsidR="00A74A7E" w14:paraId="54C521C7" w14:textId="77777777" w:rsidTr="00294738">
        <w:tc>
          <w:tcPr>
            <w:tcW w:w="2405" w:type="dxa"/>
          </w:tcPr>
          <w:p w14:paraId="05BEBDAA" w14:textId="60E9C8CB" w:rsidR="00A74A7E" w:rsidRPr="00294738" w:rsidRDefault="00294738" w:rsidP="001F2CF9">
            <w:pPr>
              <w:autoSpaceDE w:val="0"/>
              <w:autoSpaceDN w:val="0"/>
              <w:adjustRightInd w:val="0"/>
              <w:rPr>
                <w:rFonts w:ascii="Calibri" w:hAnsi="Calibri" w:cs="Calibri"/>
                <w:b/>
                <w:bCs/>
                <w:color w:val="262626" w:themeColor="text1" w:themeTint="D9"/>
                <w:sz w:val="24"/>
                <w:szCs w:val="24"/>
              </w:rPr>
            </w:pPr>
            <w:r w:rsidRPr="00294738">
              <w:rPr>
                <w:rFonts w:ascii="Calibri" w:hAnsi="Calibri" w:cs="Calibri"/>
                <w:b/>
                <w:bCs/>
                <w:color w:val="262626" w:themeColor="text1" w:themeTint="D9"/>
                <w:sz w:val="24"/>
                <w:szCs w:val="24"/>
              </w:rPr>
              <w:t>Kaj se zgodi s presežkom sredstev ob zaprtju?</w:t>
            </w:r>
          </w:p>
        </w:tc>
        <w:tc>
          <w:tcPr>
            <w:tcW w:w="3649" w:type="dxa"/>
          </w:tcPr>
          <w:p w14:paraId="017ED244" w14:textId="47B645E7" w:rsidR="00A74A7E" w:rsidRPr="00294738" w:rsidRDefault="00294738" w:rsidP="001F2CF9">
            <w:pPr>
              <w:autoSpaceDE w:val="0"/>
              <w:autoSpaceDN w:val="0"/>
              <w:adjustRightInd w:val="0"/>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Presežek sredstev je potrebno prenesti na drugo nepridobitno pravno osebo s podobnimi cilji, sicer presežek pripada lokalni skupnosti </w:t>
            </w:r>
          </w:p>
        </w:tc>
        <w:tc>
          <w:tcPr>
            <w:tcW w:w="3008" w:type="dxa"/>
          </w:tcPr>
          <w:p w14:paraId="79553452" w14:textId="12B5A42D" w:rsidR="00A74A7E" w:rsidRPr="00294738" w:rsidRDefault="00CE1622" w:rsidP="001F2CF9">
            <w:pPr>
              <w:autoSpaceDE w:val="0"/>
              <w:autoSpaceDN w:val="0"/>
              <w:adjustRightInd w:val="0"/>
              <w:rPr>
                <w:rFonts w:ascii="Calibri" w:hAnsi="Calibri" w:cs="Calibri"/>
                <w:color w:val="262626" w:themeColor="text1" w:themeTint="D9"/>
                <w:sz w:val="24"/>
                <w:szCs w:val="24"/>
              </w:rPr>
            </w:pPr>
            <w:r w:rsidRPr="00CE1622">
              <w:rPr>
                <w:rFonts w:ascii="Calibri" w:hAnsi="Calibri" w:cs="Calibri"/>
                <w:color w:val="555555"/>
                <w:sz w:val="24"/>
                <w:szCs w:val="24"/>
                <w:shd w:val="clear" w:color="auto" w:fill="F9F9F9"/>
              </w:rPr>
              <w:t>Presežek sredstev se lahko razdeli med ustanovitelje</w:t>
            </w:r>
            <w:r>
              <w:rPr>
                <w:rFonts w:ascii="Helvetica" w:hAnsi="Helvetica"/>
                <w:color w:val="555555"/>
                <w:sz w:val="21"/>
                <w:szCs w:val="21"/>
                <w:shd w:val="clear" w:color="auto" w:fill="F9F9F9"/>
              </w:rPr>
              <w:t>.</w:t>
            </w:r>
          </w:p>
        </w:tc>
      </w:tr>
      <w:tr w:rsidR="00A74A7E" w14:paraId="7D0F2B24" w14:textId="77777777" w:rsidTr="00294738">
        <w:tc>
          <w:tcPr>
            <w:tcW w:w="2405" w:type="dxa"/>
          </w:tcPr>
          <w:p w14:paraId="29ADBB91" w14:textId="4B009854" w:rsidR="00A74A7E" w:rsidRPr="00294738" w:rsidRDefault="00294738" w:rsidP="001F2CF9">
            <w:pPr>
              <w:autoSpaceDE w:val="0"/>
              <w:autoSpaceDN w:val="0"/>
              <w:adjustRightInd w:val="0"/>
              <w:rPr>
                <w:rFonts w:ascii="Calibri" w:hAnsi="Calibri" w:cs="Calibri"/>
                <w:b/>
                <w:bCs/>
                <w:color w:val="262626" w:themeColor="text1" w:themeTint="D9"/>
                <w:sz w:val="24"/>
                <w:szCs w:val="24"/>
              </w:rPr>
            </w:pPr>
            <w:r w:rsidRPr="00294738">
              <w:rPr>
                <w:rFonts w:ascii="Calibri" w:hAnsi="Calibri" w:cs="Calibri"/>
                <w:b/>
                <w:bCs/>
                <w:color w:val="262626" w:themeColor="text1" w:themeTint="D9"/>
                <w:sz w:val="24"/>
                <w:szCs w:val="24"/>
              </w:rPr>
              <w:t xml:space="preserve">Objava letnih poročil </w:t>
            </w:r>
          </w:p>
        </w:tc>
        <w:tc>
          <w:tcPr>
            <w:tcW w:w="3649" w:type="dxa"/>
          </w:tcPr>
          <w:p w14:paraId="09016F37" w14:textId="3F55DD05" w:rsidR="00A74A7E" w:rsidRPr="00294738" w:rsidRDefault="00294738" w:rsidP="001F2CF9">
            <w:pPr>
              <w:autoSpaceDE w:val="0"/>
              <w:autoSpaceDN w:val="0"/>
              <w:adjustRightInd w:val="0"/>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Letna poročila se javno objavijo </w:t>
            </w:r>
          </w:p>
        </w:tc>
        <w:tc>
          <w:tcPr>
            <w:tcW w:w="3008" w:type="dxa"/>
          </w:tcPr>
          <w:p w14:paraId="171433AD" w14:textId="4B9FDC37" w:rsidR="00A74A7E" w:rsidRPr="00CE1622" w:rsidRDefault="00CE1622" w:rsidP="001F2CF9">
            <w:pPr>
              <w:autoSpaceDE w:val="0"/>
              <w:autoSpaceDN w:val="0"/>
              <w:adjustRightInd w:val="0"/>
              <w:rPr>
                <w:rFonts w:ascii="Calibri" w:hAnsi="Calibri" w:cs="Calibri"/>
                <w:color w:val="262626" w:themeColor="text1" w:themeTint="D9"/>
                <w:sz w:val="24"/>
                <w:szCs w:val="24"/>
              </w:rPr>
            </w:pPr>
            <w:r w:rsidRPr="00CE1622">
              <w:rPr>
                <w:rFonts w:ascii="Calibri" w:hAnsi="Calibri" w:cs="Calibri"/>
                <w:color w:val="555555"/>
                <w:sz w:val="24"/>
                <w:szCs w:val="24"/>
                <w:shd w:val="clear" w:color="auto" w:fill="FFFFFF"/>
              </w:rPr>
              <w:t>Letna poročila se ne objavljajo.</w:t>
            </w:r>
          </w:p>
        </w:tc>
      </w:tr>
    </w:tbl>
    <w:p w14:paraId="6B15220A" w14:textId="4BE6ADB9" w:rsidR="00A74A7E" w:rsidRDefault="00A74A7E"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6BA37509" w14:textId="78CDCA82" w:rsidR="001034FF" w:rsidRDefault="001034FF"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09DEE154" w14:textId="46770FFC" w:rsidR="001034FF" w:rsidRDefault="001034FF"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60AD006D" w14:textId="67F6332E" w:rsidR="001034FF" w:rsidRDefault="001034FF"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6B1666E4" w14:textId="55762A58" w:rsidR="001034FF" w:rsidRDefault="001034FF"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31435301" w14:textId="7ED40974" w:rsidR="001034FF" w:rsidRDefault="001034FF"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277B9AE8" w14:textId="4BF2822F" w:rsidR="001034FF" w:rsidRDefault="001034FF"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2A9CFE7E" w14:textId="6CD83FCC" w:rsidR="001034FF" w:rsidRDefault="001034FF" w:rsidP="001F2CF9">
      <w:pPr>
        <w:autoSpaceDE w:val="0"/>
        <w:autoSpaceDN w:val="0"/>
        <w:adjustRightInd w:val="0"/>
        <w:spacing w:after="0" w:line="240" w:lineRule="auto"/>
        <w:rPr>
          <w:rFonts w:ascii="Calibri" w:hAnsi="Calibri" w:cs="Calibri"/>
          <w:b/>
          <w:bCs/>
          <w:i/>
          <w:iCs/>
          <w:color w:val="262626" w:themeColor="text1" w:themeTint="D9"/>
          <w:sz w:val="24"/>
          <w:szCs w:val="24"/>
          <w:u w:val="single"/>
        </w:rPr>
      </w:pPr>
    </w:p>
    <w:p w14:paraId="29EADA18" w14:textId="77777777" w:rsidR="008C3001" w:rsidRDefault="008C3001" w:rsidP="001F2CF9">
      <w:pPr>
        <w:autoSpaceDE w:val="0"/>
        <w:autoSpaceDN w:val="0"/>
        <w:adjustRightInd w:val="0"/>
        <w:spacing w:after="0" w:line="240" w:lineRule="auto"/>
        <w:rPr>
          <w:rFonts w:ascii="Calibri" w:hAnsi="Calibri" w:cs="Calibri"/>
          <w:b/>
          <w:bCs/>
          <w:color w:val="262626" w:themeColor="text1" w:themeTint="D9"/>
          <w:sz w:val="24"/>
          <w:szCs w:val="24"/>
        </w:rPr>
      </w:pPr>
    </w:p>
    <w:p w14:paraId="3F14667A" w14:textId="1D88F34F" w:rsidR="00A36C6B" w:rsidRPr="00A36C6B" w:rsidRDefault="00A36C6B" w:rsidP="001F2CF9">
      <w:pPr>
        <w:autoSpaceDE w:val="0"/>
        <w:autoSpaceDN w:val="0"/>
        <w:adjustRightInd w:val="0"/>
        <w:spacing w:after="0" w:line="240" w:lineRule="auto"/>
        <w:rPr>
          <w:rFonts w:ascii="Calibri" w:hAnsi="Calibri" w:cs="Calibri"/>
          <w:b/>
          <w:bCs/>
          <w:color w:val="262626" w:themeColor="text1" w:themeTint="D9"/>
          <w:sz w:val="24"/>
          <w:szCs w:val="24"/>
        </w:rPr>
      </w:pPr>
      <w:r w:rsidRPr="00A36C6B">
        <w:rPr>
          <w:rFonts w:ascii="Calibri" w:hAnsi="Calibri" w:cs="Calibri"/>
          <w:b/>
          <w:bCs/>
          <w:color w:val="262626" w:themeColor="text1" w:themeTint="D9"/>
          <w:sz w:val="24"/>
          <w:szCs w:val="24"/>
        </w:rPr>
        <w:lastRenderedPageBreak/>
        <w:t>KAKO LETNO POROČILO SESTAVIJO DRUŠTVA</w:t>
      </w:r>
    </w:p>
    <w:p w14:paraId="6BEF1A7D" w14:textId="4ED830E9" w:rsidR="00A36C6B" w:rsidRPr="00A36C6B" w:rsidRDefault="00A36C6B" w:rsidP="001F2CF9">
      <w:pPr>
        <w:autoSpaceDE w:val="0"/>
        <w:autoSpaceDN w:val="0"/>
        <w:adjustRightInd w:val="0"/>
        <w:spacing w:after="0" w:line="240" w:lineRule="auto"/>
        <w:rPr>
          <w:rFonts w:ascii="Calibri" w:hAnsi="Calibri" w:cs="Calibri"/>
          <w:b/>
          <w:bCs/>
          <w:color w:val="262626" w:themeColor="text1" w:themeTint="D9"/>
          <w:sz w:val="24"/>
          <w:szCs w:val="24"/>
        </w:rPr>
      </w:pPr>
    </w:p>
    <w:p w14:paraId="56D92C17" w14:textId="5CF643BF" w:rsidR="00A36C6B" w:rsidRDefault="00A36C6B" w:rsidP="001F2CF9">
      <w:p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t>Letno poročilo društva pripravijo na podlagi podatkov v poslovnih knjigah in drugih spremljajočih evidencah. Pri merjenju in vrednotenju računovodskih postavk društva uporabljajo pravila bodisi iz splošnih SRS bodisi iz SRS 33, kar je odvisno od velikosti njihovih prihodkov oziroma sredstev.</w:t>
      </w:r>
    </w:p>
    <w:p w14:paraId="6E91CF8D" w14:textId="6AD433E7" w:rsidR="00A36C6B" w:rsidRDefault="00A36C6B" w:rsidP="001F2CF9">
      <w:pPr>
        <w:autoSpaceDE w:val="0"/>
        <w:autoSpaceDN w:val="0"/>
        <w:adjustRightInd w:val="0"/>
        <w:spacing w:after="0" w:line="240" w:lineRule="auto"/>
        <w:rPr>
          <w:rFonts w:ascii="Calibri" w:hAnsi="Calibri" w:cs="Calibri"/>
          <w:color w:val="262626" w:themeColor="text1" w:themeTint="D9"/>
          <w:sz w:val="24"/>
          <w:szCs w:val="24"/>
        </w:rPr>
      </w:pPr>
    </w:p>
    <w:p w14:paraId="31BF9390" w14:textId="77777777" w:rsidR="00A36C6B" w:rsidRDefault="00A36C6B" w:rsidP="00A36C6B">
      <w:p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t>SRS 33 – Računovodske rešitve v društvih in invalidskih organizacijah določa, da društva sredstva in obveznosti do virov sredstev ter stroške, odhodke in prihodke računovodsko obravnavajo v skladu s SRS 1–19. To pravilo je splošno in velja za vsa društva, vendar so določene tudi izjeme. Tako društvo, ki v skladu z Zakonom o društvih (ZDru-1) ni zavezano revidirati svojih računovodskih izkazov,lahko vrednoti sredstva in obveznosti do virov sredstev po posebnih pravilih, določenih v SRS 33;</w:t>
      </w:r>
    </w:p>
    <w:p w14:paraId="2C1AAF4C" w14:textId="77777777" w:rsidR="00A36C6B" w:rsidRPr="00A36C6B" w:rsidRDefault="00A36C6B" w:rsidP="00A36C6B">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t>lahko vrednoti sredstva in obveznosti do virov sredstev po posebnih pravilih, določenih v SRS 33;</w:t>
      </w:r>
    </w:p>
    <w:p w14:paraId="69D82378" w14:textId="57D902A4" w:rsidR="00A36C6B" w:rsidRDefault="00A36C6B" w:rsidP="00A36C6B">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t>lahko na kontih stroškov materiala in prodanega trgovskega blaga knjiži med obračunskim obdobjem nakupno vrednost tedaj kupljenih količin materiala in trgovskega blaga, na koncu obračunskega obdobja pa uskladi znesek stroškov porabljenega ali prodanega materiala in prodanega trgovskega blaga s spremembo vrednosti zalog, ugotovljeno s popisom količin in njihovim ovrednotenjem po zadnjih nakupnih cena</w:t>
      </w:r>
      <w:r>
        <w:rPr>
          <w:rFonts w:ascii="Calibri" w:hAnsi="Calibri" w:cs="Calibri"/>
          <w:color w:val="262626" w:themeColor="text1" w:themeTint="D9"/>
          <w:sz w:val="24"/>
          <w:szCs w:val="24"/>
        </w:rPr>
        <w:t>h</w:t>
      </w:r>
    </w:p>
    <w:p w14:paraId="3B474371" w14:textId="0C0940BC" w:rsidR="00A36C6B" w:rsidRDefault="00A36C6B" w:rsidP="00A36C6B">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t>pri računovodskem obravnavanju poslovnih dogodkov, glede katerih SRS 33 ne določa pravil, uporablja pravila, določena s splošnimi SRS.</w:t>
      </w:r>
    </w:p>
    <w:p w14:paraId="5A0535F4" w14:textId="41195374" w:rsidR="00A36C6B" w:rsidRDefault="00A36C6B" w:rsidP="00A36C6B">
      <w:pPr>
        <w:autoSpaceDE w:val="0"/>
        <w:autoSpaceDN w:val="0"/>
        <w:adjustRightInd w:val="0"/>
        <w:spacing w:after="0" w:line="240" w:lineRule="auto"/>
        <w:rPr>
          <w:rFonts w:ascii="Calibri" w:hAnsi="Calibri" w:cs="Calibri"/>
          <w:color w:val="262626" w:themeColor="text1" w:themeTint="D9"/>
          <w:sz w:val="24"/>
          <w:szCs w:val="24"/>
        </w:rPr>
      </w:pPr>
    </w:p>
    <w:p w14:paraId="03A35233" w14:textId="63F6F225" w:rsidR="00A36C6B" w:rsidRDefault="00A36C6B" w:rsidP="00A36C6B">
      <w:p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t>Posebno pozornost morajo društva nameniti verodostojnosti knjigovodskih listin. Knjigovodska listina je verodostojna, če se pri njenem kontroliranju pokaže, da lahko strokovna oseba, ki ni sodelovala v poslovnem dogodku, na njeni podlagi popolnoma jasno in brez dvomov spozna naravo in obseg poslovnega dogodka.</w:t>
      </w:r>
    </w:p>
    <w:p w14:paraId="6913928C" w14:textId="20CAD536" w:rsidR="00A36C6B" w:rsidRDefault="00A36C6B" w:rsidP="00A36C6B">
      <w:p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t>Društva, ki imajo v lasti ali finančnem najemu opredmetena osnovna sredstva in neopredmetena sredstva, morajo ne glede na izbrani način vodenja poslovnih knjig voditi register opredmetenih osnovnih sredstev in neopredmetenih sredstev. Vanj vpisujejo registrsko številko sredstva, datum pridobitve, ime, podatke o listini o pridobitvi, prvotno nabavno vrednost in podatke o odtujitvi, ne vpisujejo pa prevrednotenj in popravkov vrednosti.</w:t>
      </w:r>
    </w:p>
    <w:p w14:paraId="20624EDD" w14:textId="76782A61" w:rsidR="00A36C6B" w:rsidRDefault="00A36C6B" w:rsidP="00A36C6B">
      <w:pPr>
        <w:autoSpaceDE w:val="0"/>
        <w:autoSpaceDN w:val="0"/>
        <w:adjustRightInd w:val="0"/>
        <w:spacing w:after="0" w:line="240" w:lineRule="auto"/>
        <w:rPr>
          <w:rFonts w:ascii="Calibri" w:hAnsi="Calibri" w:cs="Calibri"/>
          <w:color w:val="262626" w:themeColor="text1" w:themeTint="D9"/>
          <w:sz w:val="24"/>
          <w:szCs w:val="24"/>
        </w:rPr>
      </w:pPr>
    </w:p>
    <w:p w14:paraId="5F57AB1A" w14:textId="77777777" w:rsidR="00A36C6B" w:rsidRDefault="00A36C6B" w:rsidP="00A36C6B">
      <w:pPr>
        <w:autoSpaceDE w:val="0"/>
        <w:autoSpaceDN w:val="0"/>
        <w:adjustRightInd w:val="0"/>
        <w:spacing w:after="0" w:line="240" w:lineRule="auto"/>
        <w:rPr>
          <w:rFonts w:ascii="Calibri" w:hAnsi="Calibri" w:cs="Calibri"/>
          <w:b/>
          <w:bCs/>
          <w:color w:val="262626" w:themeColor="text1" w:themeTint="D9"/>
          <w:sz w:val="24"/>
          <w:szCs w:val="24"/>
          <w:u w:val="single"/>
        </w:rPr>
      </w:pPr>
    </w:p>
    <w:p w14:paraId="1661EAC8" w14:textId="77777777" w:rsidR="00A36C6B" w:rsidRDefault="00A36C6B" w:rsidP="00A36C6B">
      <w:pPr>
        <w:autoSpaceDE w:val="0"/>
        <w:autoSpaceDN w:val="0"/>
        <w:adjustRightInd w:val="0"/>
        <w:spacing w:after="0" w:line="240" w:lineRule="auto"/>
        <w:rPr>
          <w:rFonts w:ascii="Calibri" w:hAnsi="Calibri" w:cs="Calibri"/>
          <w:b/>
          <w:bCs/>
          <w:color w:val="262626" w:themeColor="text1" w:themeTint="D9"/>
          <w:sz w:val="24"/>
          <w:szCs w:val="24"/>
          <w:u w:val="single"/>
        </w:rPr>
      </w:pPr>
    </w:p>
    <w:p w14:paraId="428656F9" w14:textId="77777777" w:rsidR="00A36C6B" w:rsidRDefault="00A36C6B" w:rsidP="00A36C6B">
      <w:pPr>
        <w:autoSpaceDE w:val="0"/>
        <w:autoSpaceDN w:val="0"/>
        <w:adjustRightInd w:val="0"/>
        <w:spacing w:after="0" w:line="240" w:lineRule="auto"/>
        <w:rPr>
          <w:rFonts w:ascii="Calibri" w:hAnsi="Calibri" w:cs="Calibri"/>
          <w:b/>
          <w:bCs/>
          <w:color w:val="262626" w:themeColor="text1" w:themeTint="D9"/>
          <w:sz w:val="24"/>
          <w:szCs w:val="24"/>
          <w:u w:val="single"/>
        </w:rPr>
      </w:pPr>
    </w:p>
    <w:p w14:paraId="7E772074" w14:textId="77777777" w:rsidR="00A36C6B" w:rsidRDefault="00A36C6B" w:rsidP="00A36C6B">
      <w:pPr>
        <w:autoSpaceDE w:val="0"/>
        <w:autoSpaceDN w:val="0"/>
        <w:adjustRightInd w:val="0"/>
        <w:spacing w:after="0" w:line="240" w:lineRule="auto"/>
        <w:rPr>
          <w:rFonts w:ascii="Calibri" w:hAnsi="Calibri" w:cs="Calibri"/>
          <w:b/>
          <w:bCs/>
          <w:color w:val="262626" w:themeColor="text1" w:themeTint="D9"/>
          <w:sz w:val="24"/>
          <w:szCs w:val="24"/>
          <w:u w:val="single"/>
        </w:rPr>
      </w:pPr>
    </w:p>
    <w:p w14:paraId="17086E03" w14:textId="77777777" w:rsidR="00A36C6B" w:rsidRDefault="00A36C6B" w:rsidP="00A36C6B">
      <w:pPr>
        <w:autoSpaceDE w:val="0"/>
        <w:autoSpaceDN w:val="0"/>
        <w:adjustRightInd w:val="0"/>
        <w:spacing w:after="0" w:line="240" w:lineRule="auto"/>
        <w:rPr>
          <w:rFonts w:ascii="Calibri" w:hAnsi="Calibri" w:cs="Calibri"/>
          <w:b/>
          <w:bCs/>
          <w:color w:val="262626" w:themeColor="text1" w:themeTint="D9"/>
          <w:sz w:val="24"/>
          <w:szCs w:val="24"/>
          <w:u w:val="single"/>
        </w:rPr>
      </w:pPr>
    </w:p>
    <w:p w14:paraId="4222A6B4" w14:textId="77777777" w:rsidR="00A36C6B" w:rsidRDefault="00A36C6B" w:rsidP="00A36C6B">
      <w:pPr>
        <w:autoSpaceDE w:val="0"/>
        <w:autoSpaceDN w:val="0"/>
        <w:adjustRightInd w:val="0"/>
        <w:spacing w:after="0" w:line="240" w:lineRule="auto"/>
        <w:rPr>
          <w:rFonts w:ascii="Calibri" w:hAnsi="Calibri" w:cs="Calibri"/>
          <w:b/>
          <w:bCs/>
          <w:color w:val="262626" w:themeColor="text1" w:themeTint="D9"/>
          <w:sz w:val="24"/>
          <w:szCs w:val="24"/>
          <w:u w:val="single"/>
        </w:rPr>
      </w:pPr>
    </w:p>
    <w:p w14:paraId="3D204BED" w14:textId="77777777" w:rsidR="00A36C6B" w:rsidRDefault="00A36C6B" w:rsidP="00A36C6B">
      <w:pPr>
        <w:autoSpaceDE w:val="0"/>
        <w:autoSpaceDN w:val="0"/>
        <w:adjustRightInd w:val="0"/>
        <w:spacing w:after="0" w:line="240" w:lineRule="auto"/>
        <w:rPr>
          <w:rFonts w:ascii="Calibri" w:hAnsi="Calibri" w:cs="Calibri"/>
          <w:b/>
          <w:bCs/>
          <w:color w:val="262626" w:themeColor="text1" w:themeTint="D9"/>
          <w:sz w:val="24"/>
          <w:szCs w:val="24"/>
          <w:u w:val="single"/>
        </w:rPr>
      </w:pPr>
    </w:p>
    <w:p w14:paraId="7344E0A0" w14:textId="77777777" w:rsidR="00A36C6B" w:rsidRDefault="00A36C6B" w:rsidP="00A36C6B">
      <w:pPr>
        <w:autoSpaceDE w:val="0"/>
        <w:autoSpaceDN w:val="0"/>
        <w:adjustRightInd w:val="0"/>
        <w:spacing w:after="0" w:line="240" w:lineRule="auto"/>
        <w:rPr>
          <w:rFonts w:ascii="Calibri" w:hAnsi="Calibri" w:cs="Calibri"/>
          <w:b/>
          <w:bCs/>
          <w:color w:val="262626" w:themeColor="text1" w:themeTint="D9"/>
          <w:sz w:val="24"/>
          <w:szCs w:val="24"/>
          <w:u w:val="single"/>
        </w:rPr>
      </w:pPr>
    </w:p>
    <w:p w14:paraId="6DBC49FC" w14:textId="77777777" w:rsidR="00A36C6B" w:rsidRDefault="00A36C6B" w:rsidP="00A36C6B">
      <w:pPr>
        <w:autoSpaceDE w:val="0"/>
        <w:autoSpaceDN w:val="0"/>
        <w:adjustRightInd w:val="0"/>
        <w:spacing w:after="0" w:line="240" w:lineRule="auto"/>
        <w:rPr>
          <w:rFonts w:ascii="Calibri" w:hAnsi="Calibri" w:cs="Calibri"/>
          <w:b/>
          <w:bCs/>
          <w:color w:val="262626" w:themeColor="text1" w:themeTint="D9"/>
          <w:sz w:val="24"/>
          <w:szCs w:val="24"/>
          <w:u w:val="single"/>
        </w:rPr>
      </w:pPr>
    </w:p>
    <w:p w14:paraId="23898AA4" w14:textId="77777777" w:rsidR="00A36C6B" w:rsidRDefault="00A36C6B" w:rsidP="00A36C6B">
      <w:pPr>
        <w:autoSpaceDE w:val="0"/>
        <w:autoSpaceDN w:val="0"/>
        <w:adjustRightInd w:val="0"/>
        <w:spacing w:after="0" w:line="240" w:lineRule="auto"/>
        <w:rPr>
          <w:rFonts w:ascii="Calibri" w:hAnsi="Calibri" w:cs="Calibri"/>
          <w:b/>
          <w:bCs/>
          <w:color w:val="262626" w:themeColor="text1" w:themeTint="D9"/>
          <w:sz w:val="24"/>
          <w:szCs w:val="24"/>
          <w:u w:val="single"/>
        </w:rPr>
      </w:pPr>
    </w:p>
    <w:p w14:paraId="68BB077B" w14:textId="77777777" w:rsidR="00A36C6B" w:rsidRDefault="00A36C6B" w:rsidP="00A36C6B">
      <w:pPr>
        <w:autoSpaceDE w:val="0"/>
        <w:autoSpaceDN w:val="0"/>
        <w:adjustRightInd w:val="0"/>
        <w:spacing w:after="0" w:line="240" w:lineRule="auto"/>
        <w:rPr>
          <w:rFonts w:ascii="Calibri" w:hAnsi="Calibri" w:cs="Calibri"/>
          <w:b/>
          <w:bCs/>
          <w:color w:val="262626" w:themeColor="text1" w:themeTint="D9"/>
          <w:sz w:val="24"/>
          <w:szCs w:val="24"/>
          <w:u w:val="single"/>
        </w:rPr>
      </w:pPr>
    </w:p>
    <w:p w14:paraId="22DE0598" w14:textId="77777777" w:rsidR="00A36C6B" w:rsidRDefault="00A36C6B" w:rsidP="00A36C6B">
      <w:pPr>
        <w:autoSpaceDE w:val="0"/>
        <w:autoSpaceDN w:val="0"/>
        <w:adjustRightInd w:val="0"/>
        <w:spacing w:after="0" w:line="240" w:lineRule="auto"/>
        <w:rPr>
          <w:rFonts w:ascii="Calibri" w:hAnsi="Calibri" w:cs="Calibri"/>
          <w:b/>
          <w:bCs/>
          <w:color w:val="262626" w:themeColor="text1" w:themeTint="D9"/>
          <w:sz w:val="24"/>
          <w:szCs w:val="24"/>
          <w:u w:val="single"/>
        </w:rPr>
      </w:pPr>
    </w:p>
    <w:p w14:paraId="7AFED0FB" w14:textId="35B3F664" w:rsidR="00A36C6B" w:rsidRDefault="00A36C6B" w:rsidP="00A36C6B">
      <w:pPr>
        <w:autoSpaceDE w:val="0"/>
        <w:autoSpaceDN w:val="0"/>
        <w:adjustRightInd w:val="0"/>
        <w:spacing w:after="0" w:line="240" w:lineRule="auto"/>
        <w:rPr>
          <w:rFonts w:ascii="Calibri" w:hAnsi="Calibri" w:cs="Calibri"/>
          <w:b/>
          <w:bCs/>
          <w:color w:val="262626" w:themeColor="text1" w:themeTint="D9"/>
          <w:sz w:val="24"/>
          <w:szCs w:val="24"/>
          <w:u w:val="single"/>
        </w:rPr>
      </w:pPr>
      <w:r w:rsidRPr="00A36C6B">
        <w:rPr>
          <w:rFonts w:ascii="Calibri" w:hAnsi="Calibri" w:cs="Calibri"/>
          <w:b/>
          <w:bCs/>
          <w:color w:val="262626" w:themeColor="text1" w:themeTint="D9"/>
          <w:sz w:val="24"/>
          <w:szCs w:val="24"/>
          <w:u w:val="single"/>
        </w:rPr>
        <w:lastRenderedPageBreak/>
        <w:t>Vsebina letnega poročila</w:t>
      </w:r>
      <w:r w:rsidR="008C3001">
        <w:rPr>
          <w:rFonts w:ascii="Calibri" w:hAnsi="Calibri" w:cs="Calibri"/>
          <w:b/>
          <w:bCs/>
          <w:color w:val="262626" w:themeColor="text1" w:themeTint="D9"/>
          <w:sz w:val="24"/>
          <w:szCs w:val="24"/>
          <w:u w:val="single"/>
        </w:rPr>
        <w:t xml:space="preserve"> za društva</w:t>
      </w:r>
      <w:r w:rsidRPr="00A36C6B">
        <w:rPr>
          <w:rFonts w:ascii="Calibri" w:hAnsi="Calibri" w:cs="Calibri"/>
          <w:b/>
          <w:bCs/>
          <w:color w:val="262626" w:themeColor="text1" w:themeTint="D9"/>
          <w:sz w:val="24"/>
          <w:szCs w:val="24"/>
          <w:u w:val="single"/>
        </w:rPr>
        <w:t xml:space="preserve"> </w:t>
      </w:r>
    </w:p>
    <w:p w14:paraId="4348D962" w14:textId="5CC8633C" w:rsidR="00A36C6B" w:rsidRDefault="00A36C6B" w:rsidP="00A36C6B">
      <w:pPr>
        <w:autoSpaceDE w:val="0"/>
        <w:autoSpaceDN w:val="0"/>
        <w:adjustRightInd w:val="0"/>
        <w:spacing w:after="0" w:line="240" w:lineRule="auto"/>
        <w:rPr>
          <w:rFonts w:ascii="Calibri" w:hAnsi="Calibri" w:cs="Calibri"/>
          <w:b/>
          <w:bCs/>
          <w:color w:val="262626" w:themeColor="text1" w:themeTint="D9"/>
          <w:sz w:val="24"/>
          <w:szCs w:val="24"/>
          <w:u w:val="single"/>
        </w:rPr>
      </w:pPr>
    </w:p>
    <w:p w14:paraId="02A11F72" w14:textId="77777777" w:rsidR="00A36C6B" w:rsidRPr="00A36C6B" w:rsidRDefault="00A36C6B" w:rsidP="00A36C6B">
      <w:p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t>Letno poročilo mora obsegati resnični prikaz premoženja in poslovanja društev ter vsebovati (26. člen ZDru-1):</w:t>
      </w:r>
    </w:p>
    <w:p w14:paraId="7A401B3F" w14:textId="77777777" w:rsidR="00A36C6B" w:rsidRPr="00A36C6B" w:rsidRDefault="00A36C6B" w:rsidP="00A36C6B">
      <w:pPr>
        <w:autoSpaceDE w:val="0"/>
        <w:autoSpaceDN w:val="0"/>
        <w:adjustRightInd w:val="0"/>
        <w:spacing w:after="0" w:line="240" w:lineRule="auto"/>
        <w:rPr>
          <w:rFonts w:ascii="Calibri" w:hAnsi="Calibri" w:cs="Calibri"/>
          <w:color w:val="262626" w:themeColor="text1" w:themeTint="D9"/>
          <w:sz w:val="24"/>
          <w:szCs w:val="24"/>
        </w:rPr>
      </w:pPr>
    </w:p>
    <w:p w14:paraId="086240FF" w14:textId="33DDEA93" w:rsidR="00A36C6B" w:rsidRPr="00A36C6B" w:rsidRDefault="00A36C6B" w:rsidP="00A36C6B">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t>bilanco stanja, ki izkazuje stanje sredstev in obveznosti do njihovih virov na koncu obračunskega obdobja, s pojasnili,</w:t>
      </w:r>
    </w:p>
    <w:p w14:paraId="0E93DE73" w14:textId="37B021D9" w:rsidR="00A36C6B" w:rsidRPr="00A36C6B" w:rsidRDefault="00A36C6B" w:rsidP="00A36C6B">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t>izkaz poslovnega izida, ki izkazuje stroške, donose, prihodke in presežek prihodkov ali presežek odhodkov v obračunskem obdobju, s pojasnili in s prilogo k izkazu poslovnega izida, ki prikazuje obseg pridobitne dejavnosti društva v obračunskem obdobju, s pojasnili ter</w:t>
      </w:r>
    </w:p>
    <w:p w14:paraId="0F2432EB" w14:textId="6D951D4F" w:rsidR="00A36C6B" w:rsidRDefault="00A36C6B" w:rsidP="00A36C6B">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t>poslovno poročilo skupaj z revizorjevo oceno, če je društvo zavezano k revidiranju računovodskih izkazov.</w:t>
      </w:r>
    </w:p>
    <w:p w14:paraId="0C924288" w14:textId="173EB0BA" w:rsidR="00A36C6B" w:rsidRDefault="00A36C6B" w:rsidP="00A36C6B">
      <w:p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t>Podatki o pridobitni in nepridobitni dejavnosti društev so sestavni del izkaza poslovnega izida, in ne posebna priloga. Društva morajo za sestavitev ločenega izkaza poslovnega izida za skupno dejavnost in za pridobitno dejavnost sprejeti ustrezna sodila za razvrščanje posrednih stroškov na tiste, ki se nanašajo na pridobitno dejavnost, in tiste, ki se nanašajo na nepridobitno dejavnost.</w:t>
      </w:r>
      <w:r>
        <w:rPr>
          <w:rFonts w:ascii="Calibri" w:hAnsi="Calibri" w:cs="Calibri"/>
          <w:color w:val="262626" w:themeColor="text1" w:themeTint="D9"/>
          <w:sz w:val="24"/>
          <w:szCs w:val="24"/>
        </w:rPr>
        <w:t xml:space="preserve"> </w:t>
      </w:r>
      <w:r w:rsidRPr="00A36C6B">
        <w:rPr>
          <w:rFonts w:ascii="Calibri" w:hAnsi="Calibri" w:cs="Calibri"/>
          <w:color w:val="262626" w:themeColor="text1" w:themeTint="D9"/>
          <w:sz w:val="24"/>
          <w:szCs w:val="24"/>
        </w:rPr>
        <w:t>Kadar ne morejo določiti ustreznega sodila, kot sodilo upoštevajo razmerje med prihodki, doseženimi z opravljanjem pridobitne dejavnosti, in prihodki, doseženimi z opravljanjem nepridobitne dejavnosti v obračunskem obdobju.</w:t>
      </w:r>
    </w:p>
    <w:p w14:paraId="5B0E7B1A" w14:textId="559582BD" w:rsidR="001231E7" w:rsidRDefault="001231E7" w:rsidP="00A36C6B">
      <w:pPr>
        <w:autoSpaceDE w:val="0"/>
        <w:autoSpaceDN w:val="0"/>
        <w:adjustRightInd w:val="0"/>
        <w:spacing w:after="0" w:line="240" w:lineRule="auto"/>
        <w:rPr>
          <w:rFonts w:ascii="Calibri" w:hAnsi="Calibri" w:cs="Calibri"/>
          <w:color w:val="262626" w:themeColor="text1" w:themeTint="D9"/>
          <w:sz w:val="24"/>
          <w:szCs w:val="24"/>
        </w:rPr>
      </w:pPr>
    </w:p>
    <w:p w14:paraId="63C574E2" w14:textId="0EFC8BAA" w:rsidR="001231E7" w:rsidRDefault="001231E7" w:rsidP="00A36C6B">
      <w:pPr>
        <w:autoSpaceDE w:val="0"/>
        <w:autoSpaceDN w:val="0"/>
        <w:adjustRightInd w:val="0"/>
        <w:spacing w:after="0" w:line="240" w:lineRule="auto"/>
        <w:rPr>
          <w:rFonts w:ascii="Calibri" w:hAnsi="Calibri" w:cs="Calibri"/>
          <w:color w:val="262626" w:themeColor="text1" w:themeTint="D9"/>
          <w:sz w:val="24"/>
          <w:szCs w:val="24"/>
        </w:rPr>
      </w:pPr>
      <w:r w:rsidRPr="001231E7">
        <w:rPr>
          <w:rFonts w:ascii="Calibri" w:hAnsi="Calibri" w:cs="Calibri"/>
          <w:color w:val="262626" w:themeColor="text1" w:themeTint="D9"/>
          <w:sz w:val="24"/>
          <w:szCs w:val="24"/>
        </w:rPr>
        <w:t>Društva, ki opravljajo več vrst pridobitnih dejavnosti, opišejo tudi njihove vrste in obseg. Društva, ki so v obračunskem obdobju, za katero sestavljajo letno poročilo, opravljala tudi pridobitno dejavnost, morajo sestaviti prilogo k izkazu poslovnega izida, v kateri navedejo zneske, ki se nanašajo na pridobitno dejavnost</w:t>
      </w:r>
      <w:r>
        <w:rPr>
          <w:rFonts w:ascii="Calibri" w:hAnsi="Calibri" w:cs="Calibri"/>
          <w:color w:val="262626" w:themeColor="text1" w:themeTint="D9"/>
          <w:sz w:val="24"/>
          <w:szCs w:val="24"/>
        </w:rPr>
        <w:t>.</w:t>
      </w:r>
    </w:p>
    <w:p w14:paraId="0986A8A4" w14:textId="77777777" w:rsidR="001231E7" w:rsidRDefault="001231E7" w:rsidP="00A36C6B">
      <w:pPr>
        <w:autoSpaceDE w:val="0"/>
        <w:autoSpaceDN w:val="0"/>
        <w:adjustRightInd w:val="0"/>
        <w:spacing w:after="0" w:line="240" w:lineRule="auto"/>
        <w:rPr>
          <w:rFonts w:ascii="Calibri" w:hAnsi="Calibri" w:cs="Calibri"/>
          <w:color w:val="262626" w:themeColor="text1" w:themeTint="D9"/>
          <w:sz w:val="24"/>
          <w:szCs w:val="24"/>
        </w:rPr>
      </w:pPr>
    </w:p>
    <w:p w14:paraId="2E9C13E1" w14:textId="20809FDD" w:rsidR="00E41AAE" w:rsidRDefault="001231E7" w:rsidP="00A36C6B">
      <w:pPr>
        <w:autoSpaceDE w:val="0"/>
        <w:autoSpaceDN w:val="0"/>
        <w:adjustRightInd w:val="0"/>
        <w:spacing w:after="0" w:line="240" w:lineRule="auto"/>
        <w:rPr>
          <w:rFonts w:ascii="Calibri" w:hAnsi="Calibri" w:cs="Calibri"/>
          <w:color w:val="262626" w:themeColor="text1" w:themeTint="D9"/>
          <w:sz w:val="24"/>
          <w:szCs w:val="24"/>
        </w:rPr>
      </w:pPr>
      <w:r w:rsidRPr="001231E7">
        <w:rPr>
          <w:rFonts w:ascii="Calibri" w:hAnsi="Calibri" w:cs="Calibri"/>
          <w:color w:val="262626" w:themeColor="text1" w:themeTint="D9"/>
          <w:sz w:val="24"/>
          <w:szCs w:val="24"/>
        </w:rPr>
        <w:t>Društva ne obračunavajo odloženih terjatev in odloženih obveznosti za davek.</w:t>
      </w:r>
    </w:p>
    <w:p w14:paraId="62A188E5" w14:textId="6A0DA5D6" w:rsidR="00E41AAE" w:rsidRDefault="00E41AAE" w:rsidP="00A36C6B">
      <w:pPr>
        <w:autoSpaceDE w:val="0"/>
        <w:autoSpaceDN w:val="0"/>
        <w:adjustRightInd w:val="0"/>
        <w:spacing w:after="0" w:line="240" w:lineRule="auto"/>
        <w:rPr>
          <w:rFonts w:ascii="Calibri" w:hAnsi="Calibri" w:cs="Calibri"/>
          <w:color w:val="262626" w:themeColor="text1" w:themeTint="D9"/>
          <w:sz w:val="24"/>
          <w:szCs w:val="24"/>
        </w:rPr>
      </w:pPr>
    </w:p>
    <w:p w14:paraId="289FEB1E" w14:textId="34D66259" w:rsidR="00E41AAE" w:rsidRDefault="00E41AAE" w:rsidP="00A36C6B">
      <w:pPr>
        <w:autoSpaceDE w:val="0"/>
        <w:autoSpaceDN w:val="0"/>
        <w:adjustRightInd w:val="0"/>
        <w:spacing w:after="0" w:line="240" w:lineRule="auto"/>
        <w:rPr>
          <w:rFonts w:ascii="Calibri" w:hAnsi="Calibri" w:cs="Calibri"/>
          <w:color w:val="262626" w:themeColor="text1" w:themeTint="D9"/>
          <w:sz w:val="24"/>
          <w:szCs w:val="24"/>
        </w:rPr>
      </w:pPr>
      <w:r w:rsidRPr="00E41AAE">
        <w:rPr>
          <w:rFonts w:ascii="Calibri" w:hAnsi="Calibri" w:cs="Calibri"/>
          <w:color w:val="262626" w:themeColor="text1" w:themeTint="D9"/>
          <w:sz w:val="24"/>
          <w:szCs w:val="24"/>
        </w:rPr>
        <w:t>V skladu z Navodilom o predložitvi letnih poročil društev</w:t>
      </w:r>
      <w:r w:rsidR="0063217C">
        <w:rPr>
          <w:rFonts w:ascii="Calibri" w:hAnsi="Calibri" w:cs="Calibri"/>
          <w:color w:val="262626" w:themeColor="text1" w:themeTint="D9"/>
          <w:sz w:val="24"/>
          <w:szCs w:val="24"/>
        </w:rPr>
        <w:t>,</w:t>
      </w:r>
      <w:r w:rsidRPr="00E41AAE">
        <w:rPr>
          <w:rFonts w:ascii="Calibri" w:hAnsi="Calibri" w:cs="Calibri"/>
          <w:color w:val="262626" w:themeColor="text1" w:themeTint="D9"/>
          <w:sz w:val="24"/>
          <w:szCs w:val="24"/>
        </w:rPr>
        <w:t xml:space="preserve"> društva letna poročila predložijo Ajpesu. Podrobnejša navodila glede predlaganja so na Ajpesovi spletni strani. Pri oddaji podatkov Ajpesu morajo biti društva pozorna na določbe III. poglavja omenjenega navodila glede rokov za oddajo računovodskih izkazov in letnih poročil. Društva, ki ne revidirajo letnih poročil, pošljejo podatke za državno statistiko (računovodske izkaze) in za zagotovitev njihove javnosti (letno poročilo) do 31. </w:t>
      </w:r>
      <w:r w:rsidR="0063217C">
        <w:rPr>
          <w:rFonts w:ascii="Calibri" w:hAnsi="Calibri" w:cs="Calibri"/>
          <w:color w:val="262626" w:themeColor="text1" w:themeTint="D9"/>
          <w:sz w:val="24"/>
          <w:szCs w:val="24"/>
        </w:rPr>
        <w:t xml:space="preserve">marca.  </w:t>
      </w:r>
      <w:r w:rsidR="0063217C" w:rsidRPr="0063217C">
        <w:rPr>
          <w:rFonts w:ascii="Calibri" w:hAnsi="Calibri" w:cs="Calibri"/>
          <w:color w:val="262626" w:themeColor="text1" w:themeTint="D9"/>
          <w:sz w:val="24"/>
          <w:szCs w:val="24"/>
        </w:rPr>
        <w:t>Oboje oddajo hkrati s podpisom izjave, ki je priloga 4 omenjenega navodila. Društva, ki revidirajo letna poročila, pa pošljejo podatke za državno statistiko do 31. marca (računovodske izkaze) in za zagotovitev njihove javnosti do 31. avgusta (letno poročilo in revizorjevo oceno).</w:t>
      </w:r>
    </w:p>
    <w:p w14:paraId="1F87B15F" w14:textId="33AC5677" w:rsidR="001231E7" w:rsidRDefault="001231E7" w:rsidP="00A36C6B">
      <w:pPr>
        <w:autoSpaceDE w:val="0"/>
        <w:autoSpaceDN w:val="0"/>
        <w:adjustRightInd w:val="0"/>
        <w:spacing w:after="0" w:line="240" w:lineRule="auto"/>
        <w:rPr>
          <w:rFonts w:ascii="Calibri" w:hAnsi="Calibri" w:cs="Calibri"/>
          <w:color w:val="262626" w:themeColor="text1" w:themeTint="D9"/>
          <w:sz w:val="24"/>
          <w:szCs w:val="24"/>
        </w:rPr>
      </w:pPr>
    </w:p>
    <w:p w14:paraId="757DDB9C" w14:textId="5991F73F" w:rsidR="001231E7" w:rsidRPr="001231E7" w:rsidRDefault="001231E7" w:rsidP="00A36C6B">
      <w:pPr>
        <w:autoSpaceDE w:val="0"/>
        <w:autoSpaceDN w:val="0"/>
        <w:adjustRightInd w:val="0"/>
        <w:spacing w:after="0" w:line="240" w:lineRule="auto"/>
        <w:rPr>
          <w:rFonts w:ascii="Calibri" w:hAnsi="Calibri" w:cs="Calibri"/>
          <w:b/>
          <w:bCs/>
          <w:color w:val="262626" w:themeColor="text1" w:themeTint="D9"/>
          <w:sz w:val="24"/>
          <w:szCs w:val="24"/>
        </w:rPr>
      </w:pPr>
      <w:r w:rsidRPr="001231E7">
        <w:rPr>
          <w:rFonts w:ascii="Calibri" w:hAnsi="Calibri" w:cs="Calibri"/>
          <w:b/>
          <w:bCs/>
          <w:color w:val="262626" w:themeColor="text1" w:themeTint="D9"/>
          <w:sz w:val="24"/>
          <w:szCs w:val="24"/>
        </w:rPr>
        <w:t>DRUŠTVENI SKLAD</w:t>
      </w:r>
    </w:p>
    <w:p w14:paraId="685C3326" w14:textId="34232CCC" w:rsidR="001231E7" w:rsidRDefault="001231E7" w:rsidP="00A36C6B">
      <w:pPr>
        <w:autoSpaceDE w:val="0"/>
        <w:autoSpaceDN w:val="0"/>
        <w:adjustRightInd w:val="0"/>
        <w:spacing w:after="0" w:line="240" w:lineRule="auto"/>
        <w:rPr>
          <w:rFonts w:ascii="Calibri" w:hAnsi="Calibri" w:cs="Calibri"/>
          <w:color w:val="262626" w:themeColor="text1" w:themeTint="D9"/>
          <w:sz w:val="24"/>
          <w:szCs w:val="24"/>
        </w:rPr>
      </w:pPr>
    </w:p>
    <w:p w14:paraId="447A53F1" w14:textId="4FC7105D" w:rsidR="001231E7" w:rsidRDefault="001231E7" w:rsidP="00A36C6B">
      <w:pPr>
        <w:autoSpaceDE w:val="0"/>
        <w:autoSpaceDN w:val="0"/>
        <w:adjustRightInd w:val="0"/>
        <w:spacing w:after="0" w:line="240" w:lineRule="auto"/>
        <w:rPr>
          <w:rFonts w:ascii="Calibri" w:hAnsi="Calibri" w:cs="Calibri"/>
          <w:color w:val="262626" w:themeColor="text1" w:themeTint="D9"/>
          <w:sz w:val="24"/>
          <w:szCs w:val="24"/>
        </w:rPr>
      </w:pPr>
      <w:r w:rsidRPr="001231E7">
        <w:rPr>
          <w:rFonts w:ascii="Calibri" w:hAnsi="Calibri" w:cs="Calibri"/>
          <w:color w:val="262626" w:themeColor="text1" w:themeTint="D9"/>
          <w:sz w:val="24"/>
          <w:szCs w:val="24"/>
        </w:rPr>
        <w:t>Društveni sklad je lastni vir financiranja društva. Zajema znesek ustanovne vloge, čistega presežka prihodkov, razporejenega za določene namene, nerazporejenega čistega presežka prihodkov in nepokritega čistega presežka odhodkov (odbitna postavka). Ustanovno vlogo društva predstavljajo sredstva, ki so mu od ustanoviteljev dana na razpolago ob ustanovitvi in so kot taka navedena v njegovem ustanovnem aktu.</w:t>
      </w:r>
    </w:p>
    <w:p w14:paraId="22CBAFE1" w14:textId="7B271A62" w:rsidR="001231E7" w:rsidRDefault="001231E7" w:rsidP="00A36C6B">
      <w:pPr>
        <w:autoSpaceDE w:val="0"/>
        <w:autoSpaceDN w:val="0"/>
        <w:adjustRightInd w:val="0"/>
        <w:spacing w:after="0" w:line="240" w:lineRule="auto"/>
        <w:rPr>
          <w:rFonts w:ascii="Calibri" w:hAnsi="Calibri" w:cs="Calibri"/>
          <w:color w:val="262626" w:themeColor="text1" w:themeTint="D9"/>
          <w:sz w:val="24"/>
          <w:szCs w:val="24"/>
        </w:rPr>
      </w:pPr>
    </w:p>
    <w:p w14:paraId="262C2507" w14:textId="0695481A" w:rsidR="001231E7" w:rsidRDefault="001231E7" w:rsidP="00A36C6B">
      <w:pPr>
        <w:autoSpaceDE w:val="0"/>
        <w:autoSpaceDN w:val="0"/>
        <w:adjustRightInd w:val="0"/>
        <w:spacing w:after="0" w:line="240" w:lineRule="auto"/>
        <w:rPr>
          <w:rFonts w:ascii="Calibri" w:hAnsi="Calibri" w:cs="Calibri"/>
          <w:color w:val="262626" w:themeColor="text1" w:themeTint="D9"/>
          <w:sz w:val="24"/>
          <w:szCs w:val="24"/>
        </w:rPr>
      </w:pPr>
    </w:p>
    <w:p w14:paraId="27FBB6A8" w14:textId="7E9B211F" w:rsidR="001231E7" w:rsidRDefault="001231E7" w:rsidP="00A36C6B">
      <w:pPr>
        <w:autoSpaceDE w:val="0"/>
        <w:autoSpaceDN w:val="0"/>
        <w:adjustRightInd w:val="0"/>
        <w:spacing w:after="0" w:line="240" w:lineRule="auto"/>
        <w:rPr>
          <w:rFonts w:ascii="Calibri" w:hAnsi="Calibri" w:cs="Calibri"/>
          <w:color w:val="262626" w:themeColor="text1" w:themeTint="D9"/>
          <w:sz w:val="24"/>
          <w:szCs w:val="24"/>
        </w:rPr>
      </w:pPr>
    </w:p>
    <w:p w14:paraId="20529727" w14:textId="01F709E4" w:rsidR="001231E7" w:rsidRDefault="001231E7" w:rsidP="00A36C6B">
      <w:pPr>
        <w:autoSpaceDE w:val="0"/>
        <w:autoSpaceDN w:val="0"/>
        <w:adjustRightInd w:val="0"/>
        <w:spacing w:after="0" w:line="240" w:lineRule="auto"/>
        <w:rPr>
          <w:rFonts w:ascii="Calibri" w:hAnsi="Calibri" w:cs="Calibri"/>
          <w:color w:val="262626" w:themeColor="text1" w:themeTint="D9"/>
          <w:sz w:val="24"/>
          <w:szCs w:val="24"/>
        </w:rPr>
      </w:pPr>
      <w:r w:rsidRPr="001231E7">
        <w:rPr>
          <w:rFonts w:ascii="Calibri" w:hAnsi="Calibri" w:cs="Calibri"/>
          <w:color w:val="262626" w:themeColor="text1" w:themeTint="D9"/>
          <w:sz w:val="24"/>
          <w:szCs w:val="24"/>
        </w:rPr>
        <w:t>Društva lahko pokrijejo čisti presežek odhodkov iz rezerv iz čistega presežka prihodkov iz prejšnjih obračunskih obdobij, lahko pa tudi v breme drugih delov društvenega sklada. Poslovni izid namreč ugotovijo v razredu 8, v katerem je izkazana razlika med vsemi prihodki in vsemi odhodki. Lahko je presežek prihodkov nad odhodki, lahko pa presežek odhodkov nad prihodki. Obveznost za obračunani davek od dohodkov pravnih oseb zmanjšuje presežek prihodkov nad odhodki oziroma povečuje presežek odhodkov</w:t>
      </w:r>
      <w:r>
        <w:rPr>
          <w:rFonts w:ascii="Calibri" w:hAnsi="Calibri" w:cs="Calibri"/>
          <w:color w:val="262626" w:themeColor="text1" w:themeTint="D9"/>
          <w:sz w:val="24"/>
          <w:szCs w:val="24"/>
        </w:rPr>
        <w:t xml:space="preserve"> nad prihodki.</w:t>
      </w:r>
    </w:p>
    <w:p w14:paraId="3241CFCF" w14:textId="67D06D00" w:rsidR="001231E7" w:rsidRDefault="001231E7" w:rsidP="00A36C6B">
      <w:pPr>
        <w:autoSpaceDE w:val="0"/>
        <w:autoSpaceDN w:val="0"/>
        <w:adjustRightInd w:val="0"/>
        <w:spacing w:after="0" w:line="240" w:lineRule="auto"/>
        <w:rPr>
          <w:rFonts w:ascii="Calibri" w:hAnsi="Calibri" w:cs="Calibri"/>
          <w:color w:val="262626" w:themeColor="text1" w:themeTint="D9"/>
          <w:sz w:val="24"/>
          <w:szCs w:val="24"/>
        </w:rPr>
      </w:pPr>
      <w:r w:rsidRPr="001231E7">
        <w:rPr>
          <w:rFonts w:ascii="Calibri" w:hAnsi="Calibri" w:cs="Calibri"/>
          <w:color w:val="262626" w:themeColor="text1" w:themeTint="D9"/>
          <w:sz w:val="24"/>
          <w:szCs w:val="24"/>
        </w:rPr>
        <w:t>Konti razreda 8 konec poslovnega leta ne morejo izkazovati stanja, zato se pred sestavitvijo bilance stanja zaprejo s prenosom poslovnega izida. Poslovni izid se ugotavlja najmanj enkrat letno. Morebitna ugotovitev poslovnega izida med letom je le začasna. Društva na kontih skupine 80 knjižijo zneske odhodkov, prenesene s kontov razreda 4, in zneske prihodkov, prenesene s kontov razreda 7. Ugotovljeni poslovni izid se pri društvih prenese na ugotovljeni poslovni izid na kontih skupine 93. Kritje</w:t>
      </w:r>
      <w:r>
        <w:rPr>
          <w:rFonts w:ascii="Calibri" w:hAnsi="Calibri" w:cs="Calibri"/>
          <w:color w:val="262626" w:themeColor="text1" w:themeTint="D9"/>
          <w:sz w:val="24"/>
          <w:szCs w:val="24"/>
        </w:rPr>
        <w:t xml:space="preserve"> </w:t>
      </w:r>
      <w:r w:rsidRPr="001231E7">
        <w:rPr>
          <w:rFonts w:ascii="Calibri" w:hAnsi="Calibri" w:cs="Calibri"/>
          <w:color w:val="262626" w:themeColor="text1" w:themeTint="D9"/>
          <w:sz w:val="24"/>
          <w:szCs w:val="24"/>
        </w:rPr>
        <w:t>presežka odhodkov obravnavanega obračunskega obdobja se opravi s prenosom presežka prihodkov iz prejšnjih obračunskih obdobij, ki ga društvo nameni za pokrivanje odhodkov obravnavanega obračunskega obdobja, na konte skupine 80.</w:t>
      </w:r>
      <w:r>
        <w:rPr>
          <w:rFonts w:ascii="Calibri" w:hAnsi="Calibri" w:cs="Calibri"/>
          <w:color w:val="262626" w:themeColor="text1" w:themeTint="D9"/>
          <w:sz w:val="24"/>
          <w:szCs w:val="24"/>
        </w:rPr>
        <w:t xml:space="preserve"> </w:t>
      </w:r>
    </w:p>
    <w:p w14:paraId="36E881D1" w14:textId="77777777" w:rsidR="001231E7" w:rsidRDefault="001231E7" w:rsidP="00A36C6B">
      <w:pPr>
        <w:autoSpaceDE w:val="0"/>
        <w:autoSpaceDN w:val="0"/>
        <w:adjustRightInd w:val="0"/>
        <w:spacing w:after="0" w:line="240" w:lineRule="auto"/>
        <w:rPr>
          <w:rFonts w:ascii="Calibri" w:hAnsi="Calibri" w:cs="Calibri"/>
          <w:color w:val="262626" w:themeColor="text1" w:themeTint="D9"/>
          <w:sz w:val="24"/>
          <w:szCs w:val="24"/>
        </w:rPr>
      </w:pPr>
    </w:p>
    <w:p w14:paraId="4580D086" w14:textId="49225DB4" w:rsidR="0063217C" w:rsidRDefault="001231E7" w:rsidP="00A36C6B">
      <w:pPr>
        <w:autoSpaceDE w:val="0"/>
        <w:autoSpaceDN w:val="0"/>
        <w:adjustRightInd w:val="0"/>
        <w:spacing w:after="0" w:line="240" w:lineRule="auto"/>
        <w:rPr>
          <w:rFonts w:ascii="Calibri" w:hAnsi="Calibri" w:cs="Calibri"/>
          <w:b/>
          <w:bCs/>
          <w:color w:val="262626" w:themeColor="text1" w:themeTint="D9"/>
          <w:sz w:val="24"/>
          <w:szCs w:val="24"/>
        </w:rPr>
      </w:pPr>
      <w:r w:rsidRPr="001231E7">
        <w:rPr>
          <w:rFonts w:ascii="Calibri" w:hAnsi="Calibri" w:cs="Calibri"/>
          <w:b/>
          <w:bCs/>
          <w:color w:val="262626" w:themeColor="text1" w:themeTint="D9"/>
          <w:sz w:val="24"/>
          <w:szCs w:val="24"/>
        </w:rPr>
        <w:t xml:space="preserve">VREDNOTENJE SREDSTEV IN OBVEZNOSTI </w:t>
      </w:r>
    </w:p>
    <w:p w14:paraId="46719470" w14:textId="0E58628F" w:rsidR="001231E7" w:rsidRDefault="001231E7" w:rsidP="00A36C6B">
      <w:pPr>
        <w:autoSpaceDE w:val="0"/>
        <w:autoSpaceDN w:val="0"/>
        <w:adjustRightInd w:val="0"/>
        <w:spacing w:after="0" w:line="240" w:lineRule="auto"/>
        <w:rPr>
          <w:rFonts w:ascii="Calibri" w:hAnsi="Calibri" w:cs="Calibri"/>
          <w:b/>
          <w:bCs/>
          <w:color w:val="262626" w:themeColor="text1" w:themeTint="D9"/>
          <w:sz w:val="24"/>
          <w:szCs w:val="24"/>
        </w:rPr>
      </w:pPr>
    </w:p>
    <w:p w14:paraId="757703EA" w14:textId="77777777" w:rsidR="001231E7" w:rsidRPr="001231E7" w:rsidRDefault="001231E7" w:rsidP="001231E7">
      <w:pPr>
        <w:autoSpaceDE w:val="0"/>
        <w:autoSpaceDN w:val="0"/>
        <w:adjustRightInd w:val="0"/>
        <w:spacing w:after="0" w:line="240" w:lineRule="auto"/>
        <w:rPr>
          <w:rFonts w:ascii="Calibri" w:hAnsi="Calibri" w:cs="Calibri"/>
          <w:color w:val="262626" w:themeColor="text1" w:themeTint="D9"/>
          <w:sz w:val="24"/>
          <w:szCs w:val="24"/>
        </w:rPr>
      </w:pPr>
      <w:r w:rsidRPr="001231E7">
        <w:rPr>
          <w:rFonts w:ascii="Calibri" w:hAnsi="Calibri" w:cs="Calibri"/>
          <w:color w:val="262626" w:themeColor="text1" w:themeTint="D9"/>
          <w:sz w:val="24"/>
          <w:szCs w:val="24"/>
        </w:rPr>
        <w:t>Če društva niso zavezana k reviziji računovodskih izkazov, lahko vrednotijo nekatera sredstva in obveznosti do virov sredstev po teh pravilih:</w:t>
      </w:r>
    </w:p>
    <w:p w14:paraId="71DE2702" w14:textId="77777777" w:rsidR="001231E7" w:rsidRPr="001231E7" w:rsidRDefault="001231E7" w:rsidP="001231E7">
      <w:pPr>
        <w:autoSpaceDE w:val="0"/>
        <w:autoSpaceDN w:val="0"/>
        <w:adjustRightInd w:val="0"/>
        <w:spacing w:after="0" w:line="240" w:lineRule="auto"/>
        <w:rPr>
          <w:rFonts w:ascii="Calibri" w:hAnsi="Calibri" w:cs="Calibri"/>
          <w:color w:val="262626" w:themeColor="text1" w:themeTint="D9"/>
          <w:sz w:val="24"/>
          <w:szCs w:val="24"/>
        </w:rPr>
      </w:pPr>
    </w:p>
    <w:p w14:paraId="6FC9C191" w14:textId="48A6D6EB" w:rsidR="001231E7" w:rsidRPr="001231E7" w:rsidRDefault="001231E7" w:rsidP="001231E7">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1231E7">
        <w:rPr>
          <w:rFonts w:ascii="Calibri" w:hAnsi="Calibri" w:cs="Calibri"/>
          <w:color w:val="262626" w:themeColor="text1" w:themeTint="D9"/>
          <w:sz w:val="24"/>
          <w:szCs w:val="24"/>
        </w:rPr>
        <w:t>Nabavna vrednost neodplačno pridobljenih (podarjenih) sredstev, katerih nakupna cena oziroma tržna vrednost ni znana, se določi z ocenitvijo, pri čemer se upošteva nabavna vrednost enakih ali primerljivih sredstev.</w:t>
      </w:r>
    </w:p>
    <w:p w14:paraId="04F47B40" w14:textId="03158E20" w:rsidR="001231E7" w:rsidRDefault="001231E7" w:rsidP="001231E7">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1231E7">
        <w:rPr>
          <w:rFonts w:ascii="Calibri" w:hAnsi="Calibri" w:cs="Calibri"/>
          <w:color w:val="262626" w:themeColor="text1" w:themeTint="D9"/>
          <w:sz w:val="24"/>
          <w:szCs w:val="24"/>
        </w:rPr>
        <w:t>Opredmetena osnovna sredstva in neopredmetena sredstva, ki jih je izdelalo društvo samo, se vrednotijo po nastalih stroških, ki jih je mogoče pripisati njihovi usposobitvi za uporabo. V vrednost izdelave opreme društvo ne more všteti vrednosti dela, ki so ga brezplačno opravili člani in prostovoljci.</w:t>
      </w:r>
    </w:p>
    <w:p w14:paraId="6CFA1D0A" w14:textId="1F0B4EE5" w:rsidR="001231E7" w:rsidRDefault="001231E7" w:rsidP="001231E7">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1231E7">
        <w:rPr>
          <w:rFonts w:ascii="Calibri" w:hAnsi="Calibri" w:cs="Calibri"/>
          <w:color w:val="262626" w:themeColor="text1" w:themeTint="D9"/>
          <w:sz w:val="24"/>
          <w:szCs w:val="24"/>
        </w:rPr>
        <w:t>Finančne naložbe in terjatve se ne prevrednotujejo, razen v primeru oslabitve ali odprave njihove oslabitve.</w:t>
      </w:r>
    </w:p>
    <w:p w14:paraId="0FDE7532" w14:textId="1494347F" w:rsidR="001231E7" w:rsidRDefault="001231E7" w:rsidP="001231E7">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1231E7">
        <w:rPr>
          <w:rFonts w:ascii="Calibri" w:hAnsi="Calibri" w:cs="Calibri"/>
          <w:color w:val="262626" w:themeColor="text1" w:themeTint="D9"/>
          <w:sz w:val="24"/>
          <w:szCs w:val="24"/>
        </w:rPr>
        <w:t>Vrednost finančnih naložb in terjatev, za katere se utemeljeno domneva, da ne bodo poravnane oziroma ne bodo poravnane v celoti, mora društvo razkriti v pojasnilih k računovodskim izkazom.</w:t>
      </w:r>
    </w:p>
    <w:p w14:paraId="14AEA9CE" w14:textId="096B1CFF" w:rsidR="001231E7" w:rsidRDefault="001231E7" w:rsidP="001231E7">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1231E7">
        <w:rPr>
          <w:rFonts w:ascii="Calibri" w:hAnsi="Calibri" w:cs="Calibri"/>
          <w:color w:val="262626" w:themeColor="text1" w:themeTint="D9"/>
          <w:sz w:val="24"/>
          <w:szCs w:val="24"/>
        </w:rPr>
        <w:t>Zaloge materiala in trgovskega blaga se vrednotijo po nakupnih cenah, zaloge proizvodov in nedokončane proizvodnje pa s stroški izdelavnega materiala in tujih izdelavnih storitev.</w:t>
      </w:r>
    </w:p>
    <w:p w14:paraId="6D441210" w14:textId="2801AB95" w:rsidR="001231E7" w:rsidRPr="001231E7" w:rsidRDefault="001231E7" w:rsidP="001231E7">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1231E7">
        <w:rPr>
          <w:rFonts w:ascii="Calibri" w:hAnsi="Calibri" w:cs="Calibri"/>
          <w:color w:val="262626" w:themeColor="text1" w:themeTint="D9"/>
          <w:sz w:val="24"/>
          <w:szCs w:val="24"/>
        </w:rPr>
        <w:t>Porabljene zaloge se vrednotijo po izbrani metodi (po SRS) zaporednih cen ali tehtanih povprečnih cen. Zaloge materiala in trgovskega blaga se lahko na koncu obračunskega obdobja ovrednotijo po zadnjih dokumentiranih nakupnih cenah.</w:t>
      </w:r>
    </w:p>
    <w:p w14:paraId="697BB02B" w14:textId="77777777" w:rsidR="001231E7" w:rsidRDefault="001231E7" w:rsidP="00A36C6B">
      <w:pPr>
        <w:autoSpaceDE w:val="0"/>
        <w:autoSpaceDN w:val="0"/>
        <w:adjustRightInd w:val="0"/>
        <w:spacing w:after="0" w:line="240" w:lineRule="auto"/>
        <w:rPr>
          <w:rFonts w:ascii="Calibri" w:hAnsi="Calibri" w:cs="Calibri"/>
          <w:color w:val="262626" w:themeColor="text1" w:themeTint="D9"/>
          <w:sz w:val="24"/>
          <w:szCs w:val="24"/>
        </w:rPr>
      </w:pPr>
    </w:p>
    <w:p w14:paraId="7802F22A" w14:textId="77777777" w:rsidR="001231E7" w:rsidRDefault="001231E7" w:rsidP="00A36C6B">
      <w:pPr>
        <w:autoSpaceDE w:val="0"/>
        <w:autoSpaceDN w:val="0"/>
        <w:adjustRightInd w:val="0"/>
        <w:spacing w:after="0" w:line="240" w:lineRule="auto"/>
        <w:rPr>
          <w:rFonts w:ascii="Calibri" w:hAnsi="Calibri" w:cs="Calibri"/>
          <w:b/>
          <w:bCs/>
          <w:color w:val="262626" w:themeColor="text1" w:themeTint="D9"/>
          <w:sz w:val="24"/>
          <w:szCs w:val="24"/>
        </w:rPr>
      </w:pPr>
    </w:p>
    <w:p w14:paraId="4411780B" w14:textId="77777777" w:rsidR="001231E7" w:rsidRDefault="001231E7" w:rsidP="00A36C6B">
      <w:pPr>
        <w:autoSpaceDE w:val="0"/>
        <w:autoSpaceDN w:val="0"/>
        <w:adjustRightInd w:val="0"/>
        <w:spacing w:after="0" w:line="240" w:lineRule="auto"/>
        <w:rPr>
          <w:rFonts w:ascii="Calibri" w:hAnsi="Calibri" w:cs="Calibri"/>
          <w:b/>
          <w:bCs/>
          <w:color w:val="262626" w:themeColor="text1" w:themeTint="D9"/>
          <w:sz w:val="24"/>
          <w:szCs w:val="24"/>
        </w:rPr>
      </w:pPr>
    </w:p>
    <w:p w14:paraId="76DF0FCC" w14:textId="77777777" w:rsidR="001231E7" w:rsidRDefault="001231E7" w:rsidP="00A36C6B">
      <w:pPr>
        <w:autoSpaceDE w:val="0"/>
        <w:autoSpaceDN w:val="0"/>
        <w:adjustRightInd w:val="0"/>
        <w:spacing w:after="0" w:line="240" w:lineRule="auto"/>
        <w:rPr>
          <w:rFonts w:ascii="Calibri" w:hAnsi="Calibri" w:cs="Calibri"/>
          <w:b/>
          <w:bCs/>
          <w:color w:val="262626" w:themeColor="text1" w:themeTint="D9"/>
          <w:sz w:val="24"/>
          <w:szCs w:val="24"/>
        </w:rPr>
      </w:pPr>
    </w:p>
    <w:p w14:paraId="24F429A4" w14:textId="77777777" w:rsidR="001231E7" w:rsidRDefault="001231E7" w:rsidP="00A36C6B">
      <w:pPr>
        <w:autoSpaceDE w:val="0"/>
        <w:autoSpaceDN w:val="0"/>
        <w:adjustRightInd w:val="0"/>
        <w:spacing w:after="0" w:line="240" w:lineRule="auto"/>
        <w:rPr>
          <w:rFonts w:ascii="Calibri" w:hAnsi="Calibri" w:cs="Calibri"/>
          <w:b/>
          <w:bCs/>
          <w:color w:val="262626" w:themeColor="text1" w:themeTint="D9"/>
          <w:sz w:val="24"/>
          <w:szCs w:val="24"/>
        </w:rPr>
      </w:pPr>
    </w:p>
    <w:p w14:paraId="5F0870A4" w14:textId="77777777" w:rsidR="001231E7" w:rsidRDefault="001231E7" w:rsidP="00A36C6B">
      <w:pPr>
        <w:autoSpaceDE w:val="0"/>
        <w:autoSpaceDN w:val="0"/>
        <w:adjustRightInd w:val="0"/>
        <w:spacing w:after="0" w:line="240" w:lineRule="auto"/>
        <w:rPr>
          <w:rFonts w:ascii="Calibri" w:hAnsi="Calibri" w:cs="Calibri"/>
          <w:b/>
          <w:bCs/>
          <w:color w:val="262626" w:themeColor="text1" w:themeTint="D9"/>
          <w:sz w:val="24"/>
          <w:szCs w:val="24"/>
        </w:rPr>
      </w:pPr>
    </w:p>
    <w:p w14:paraId="71C29A8B" w14:textId="77777777" w:rsidR="001231E7" w:rsidRDefault="001231E7" w:rsidP="00A36C6B">
      <w:pPr>
        <w:autoSpaceDE w:val="0"/>
        <w:autoSpaceDN w:val="0"/>
        <w:adjustRightInd w:val="0"/>
        <w:spacing w:after="0" w:line="240" w:lineRule="auto"/>
        <w:rPr>
          <w:rFonts w:ascii="Calibri" w:hAnsi="Calibri" w:cs="Calibri"/>
          <w:b/>
          <w:bCs/>
          <w:color w:val="262626" w:themeColor="text1" w:themeTint="D9"/>
          <w:sz w:val="24"/>
          <w:szCs w:val="24"/>
        </w:rPr>
      </w:pPr>
    </w:p>
    <w:p w14:paraId="39761CAF" w14:textId="51AFC43A" w:rsidR="00A36C6B" w:rsidRPr="001231E7" w:rsidRDefault="001231E7" w:rsidP="00A36C6B">
      <w:pPr>
        <w:autoSpaceDE w:val="0"/>
        <w:autoSpaceDN w:val="0"/>
        <w:adjustRightInd w:val="0"/>
        <w:spacing w:after="0" w:line="240" w:lineRule="auto"/>
        <w:rPr>
          <w:rFonts w:ascii="Calibri" w:hAnsi="Calibri" w:cs="Calibri"/>
          <w:b/>
          <w:bCs/>
          <w:color w:val="262626" w:themeColor="text1" w:themeTint="D9"/>
          <w:sz w:val="24"/>
          <w:szCs w:val="24"/>
        </w:rPr>
      </w:pPr>
      <w:r w:rsidRPr="001231E7">
        <w:rPr>
          <w:rFonts w:ascii="Calibri" w:hAnsi="Calibri" w:cs="Calibri"/>
          <w:b/>
          <w:bCs/>
          <w:color w:val="262626" w:themeColor="text1" w:themeTint="D9"/>
          <w:sz w:val="24"/>
          <w:szCs w:val="24"/>
        </w:rPr>
        <w:lastRenderedPageBreak/>
        <w:t>IZKAZ POSLOVNEGA IZIDA</w:t>
      </w:r>
    </w:p>
    <w:p w14:paraId="7749B10B" w14:textId="77B2182D" w:rsidR="00A36C6B" w:rsidRDefault="00A36C6B" w:rsidP="00A36C6B">
      <w:pPr>
        <w:autoSpaceDE w:val="0"/>
        <w:autoSpaceDN w:val="0"/>
        <w:adjustRightInd w:val="0"/>
        <w:spacing w:after="0" w:line="240" w:lineRule="auto"/>
        <w:rPr>
          <w:rFonts w:ascii="Calibri" w:hAnsi="Calibri" w:cs="Calibri"/>
          <w:color w:val="262626" w:themeColor="text1" w:themeTint="D9"/>
          <w:sz w:val="24"/>
          <w:szCs w:val="24"/>
        </w:rPr>
      </w:pPr>
    </w:p>
    <w:p w14:paraId="065676DB" w14:textId="08030443" w:rsidR="001231E7" w:rsidRDefault="001231E7" w:rsidP="00A36C6B">
      <w:p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D</w:t>
      </w:r>
      <w:r w:rsidRPr="001231E7">
        <w:rPr>
          <w:rFonts w:ascii="Calibri" w:hAnsi="Calibri" w:cs="Calibri"/>
          <w:color w:val="262626" w:themeColor="text1" w:themeTint="D9"/>
          <w:sz w:val="24"/>
          <w:szCs w:val="24"/>
        </w:rPr>
        <w:t>ruštva sestavijo</w:t>
      </w:r>
      <w:r w:rsidR="00C23239">
        <w:rPr>
          <w:rFonts w:ascii="Calibri" w:hAnsi="Calibri" w:cs="Calibri"/>
          <w:color w:val="262626" w:themeColor="text1" w:themeTint="D9"/>
          <w:sz w:val="24"/>
          <w:szCs w:val="24"/>
        </w:rPr>
        <w:t xml:space="preserve"> izkaz poslovnega izida </w:t>
      </w:r>
      <w:r w:rsidRPr="001231E7">
        <w:rPr>
          <w:rFonts w:ascii="Calibri" w:hAnsi="Calibri" w:cs="Calibri"/>
          <w:color w:val="262626" w:themeColor="text1" w:themeTint="D9"/>
          <w:sz w:val="24"/>
          <w:szCs w:val="24"/>
        </w:rPr>
        <w:t xml:space="preserve"> v skladu s SRS 21 – Oblike izkaza poslovnega izida za zunanje poslovno poročanje, in sicer po različici I</w:t>
      </w:r>
      <w:r w:rsidR="00C23239">
        <w:rPr>
          <w:rFonts w:ascii="Calibri" w:hAnsi="Calibri" w:cs="Calibri"/>
          <w:color w:val="262626" w:themeColor="text1" w:themeTint="D9"/>
          <w:sz w:val="24"/>
          <w:szCs w:val="24"/>
        </w:rPr>
        <w:t>.</w:t>
      </w:r>
    </w:p>
    <w:p w14:paraId="76C72A05" w14:textId="51A3FE0C" w:rsidR="00C23239" w:rsidRDefault="00C23239" w:rsidP="00A36C6B">
      <w:pPr>
        <w:autoSpaceDE w:val="0"/>
        <w:autoSpaceDN w:val="0"/>
        <w:adjustRightInd w:val="0"/>
        <w:spacing w:after="0" w:line="240" w:lineRule="auto"/>
        <w:rPr>
          <w:rFonts w:ascii="Calibri" w:hAnsi="Calibri" w:cs="Calibri"/>
          <w:color w:val="262626" w:themeColor="text1" w:themeTint="D9"/>
          <w:sz w:val="24"/>
          <w:szCs w:val="24"/>
        </w:rPr>
      </w:pPr>
    </w:p>
    <w:p w14:paraId="56303901" w14:textId="77777777" w:rsidR="00C23239" w:rsidRPr="00C23239" w:rsidRDefault="00C23239" w:rsidP="00C23239">
      <w:pPr>
        <w:autoSpaceDE w:val="0"/>
        <w:autoSpaceDN w:val="0"/>
        <w:adjustRightInd w:val="0"/>
        <w:spacing w:after="0" w:line="240" w:lineRule="auto"/>
        <w:rPr>
          <w:rFonts w:ascii="Calibri" w:hAnsi="Calibri" w:cs="Calibri"/>
          <w:color w:val="262626" w:themeColor="text1" w:themeTint="D9"/>
          <w:sz w:val="24"/>
          <w:szCs w:val="24"/>
        </w:rPr>
      </w:pPr>
      <w:r w:rsidRPr="00C23239">
        <w:rPr>
          <w:rFonts w:ascii="Calibri" w:hAnsi="Calibri" w:cs="Calibri"/>
          <w:color w:val="262626" w:themeColor="text1" w:themeTint="D9"/>
          <w:sz w:val="24"/>
          <w:szCs w:val="24"/>
        </w:rPr>
        <w:t>V postavko Drugi poslovni prihodki društva vključijo tudi prihodke od</w:t>
      </w:r>
    </w:p>
    <w:p w14:paraId="1307C311" w14:textId="77777777" w:rsidR="00C23239" w:rsidRPr="00C23239" w:rsidRDefault="00C23239" w:rsidP="00C23239">
      <w:pPr>
        <w:autoSpaceDE w:val="0"/>
        <w:autoSpaceDN w:val="0"/>
        <w:adjustRightInd w:val="0"/>
        <w:spacing w:after="0" w:line="240" w:lineRule="auto"/>
        <w:rPr>
          <w:rFonts w:ascii="Calibri" w:hAnsi="Calibri" w:cs="Calibri"/>
          <w:color w:val="262626" w:themeColor="text1" w:themeTint="D9"/>
          <w:sz w:val="24"/>
          <w:szCs w:val="24"/>
        </w:rPr>
      </w:pPr>
    </w:p>
    <w:p w14:paraId="2BD325A4" w14:textId="77777777" w:rsidR="00C23239" w:rsidRPr="00C23239" w:rsidRDefault="00C23239" w:rsidP="00C23239">
      <w:pPr>
        <w:autoSpaceDE w:val="0"/>
        <w:autoSpaceDN w:val="0"/>
        <w:adjustRightInd w:val="0"/>
        <w:spacing w:after="0" w:line="240" w:lineRule="auto"/>
        <w:rPr>
          <w:rFonts w:ascii="Calibri" w:hAnsi="Calibri" w:cs="Calibri"/>
          <w:color w:val="262626" w:themeColor="text1" w:themeTint="D9"/>
          <w:sz w:val="24"/>
          <w:szCs w:val="24"/>
        </w:rPr>
      </w:pPr>
      <w:r w:rsidRPr="00C23239">
        <w:rPr>
          <w:rFonts w:ascii="Calibri" w:hAnsi="Calibri" w:cs="Calibri"/>
          <w:color w:val="262626" w:themeColor="text1" w:themeTint="D9"/>
          <w:sz w:val="24"/>
          <w:szCs w:val="24"/>
        </w:rPr>
        <w:t>dotacij iz Fundacije za financiranje invalidskih in humanitarnih organizacij v Republiki Sloveniji (FIHO),</w:t>
      </w:r>
    </w:p>
    <w:p w14:paraId="5E57BC79" w14:textId="77777777" w:rsidR="00C23239" w:rsidRPr="00C23239" w:rsidRDefault="00C23239" w:rsidP="00C23239">
      <w:pPr>
        <w:autoSpaceDE w:val="0"/>
        <w:autoSpaceDN w:val="0"/>
        <w:adjustRightInd w:val="0"/>
        <w:spacing w:after="0" w:line="240" w:lineRule="auto"/>
        <w:rPr>
          <w:rFonts w:ascii="Calibri" w:hAnsi="Calibri" w:cs="Calibri"/>
          <w:color w:val="262626" w:themeColor="text1" w:themeTint="D9"/>
          <w:sz w:val="24"/>
          <w:szCs w:val="24"/>
        </w:rPr>
      </w:pPr>
      <w:r w:rsidRPr="00C23239">
        <w:rPr>
          <w:rFonts w:ascii="Calibri" w:hAnsi="Calibri" w:cs="Calibri"/>
          <w:color w:val="262626" w:themeColor="text1" w:themeTint="D9"/>
          <w:sz w:val="24"/>
          <w:szCs w:val="24"/>
        </w:rPr>
        <w:t>dotacij iz proračunskih in drugih javnih sredstev,</w:t>
      </w:r>
    </w:p>
    <w:p w14:paraId="66E65B20" w14:textId="77777777" w:rsidR="00C23239" w:rsidRPr="00C23239" w:rsidRDefault="00C23239" w:rsidP="00C23239">
      <w:pPr>
        <w:autoSpaceDE w:val="0"/>
        <w:autoSpaceDN w:val="0"/>
        <w:adjustRightInd w:val="0"/>
        <w:spacing w:after="0" w:line="240" w:lineRule="auto"/>
        <w:rPr>
          <w:rFonts w:ascii="Calibri" w:hAnsi="Calibri" w:cs="Calibri"/>
          <w:color w:val="262626" w:themeColor="text1" w:themeTint="D9"/>
          <w:sz w:val="24"/>
          <w:szCs w:val="24"/>
        </w:rPr>
      </w:pPr>
      <w:r w:rsidRPr="00C23239">
        <w:rPr>
          <w:rFonts w:ascii="Calibri" w:hAnsi="Calibri" w:cs="Calibri"/>
          <w:color w:val="262626" w:themeColor="text1" w:themeTint="D9"/>
          <w:sz w:val="24"/>
          <w:szCs w:val="24"/>
        </w:rPr>
        <w:t>dotacij iz drugih fundacij, skladov in ustanov,</w:t>
      </w:r>
    </w:p>
    <w:p w14:paraId="2E42CD6B" w14:textId="77777777" w:rsidR="00C23239" w:rsidRPr="00C23239" w:rsidRDefault="00C23239" w:rsidP="00C23239">
      <w:pPr>
        <w:autoSpaceDE w:val="0"/>
        <w:autoSpaceDN w:val="0"/>
        <w:adjustRightInd w:val="0"/>
        <w:spacing w:after="0" w:line="240" w:lineRule="auto"/>
        <w:rPr>
          <w:rFonts w:ascii="Calibri" w:hAnsi="Calibri" w:cs="Calibri"/>
          <w:color w:val="262626" w:themeColor="text1" w:themeTint="D9"/>
          <w:sz w:val="24"/>
          <w:szCs w:val="24"/>
        </w:rPr>
      </w:pPr>
      <w:r w:rsidRPr="00C23239">
        <w:rPr>
          <w:rFonts w:ascii="Calibri" w:hAnsi="Calibri" w:cs="Calibri"/>
          <w:color w:val="262626" w:themeColor="text1" w:themeTint="D9"/>
          <w:sz w:val="24"/>
          <w:szCs w:val="24"/>
        </w:rPr>
        <w:t>donacij drugih pravnih in fizičnih oseb,</w:t>
      </w:r>
    </w:p>
    <w:p w14:paraId="53CF3FD6" w14:textId="77777777" w:rsidR="00C23239" w:rsidRPr="00C23239" w:rsidRDefault="00C23239" w:rsidP="00C23239">
      <w:pPr>
        <w:autoSpaceDE w:val="0"/>
        <w:autoSpaceDN w:val="0"/>
        <w:adjustRightInd w:val="0"/>
        <w:spacing w:after="0" w:line="240" w:lineRule="auto"/>
        <w:rPr>
          <w:rFonts w:ascii="Calibri" w:hAnsi="Calibri" w:cs="Calibri"/>
          <w:color w:val="262626" w:themeColor="text1" w:themeTint="D9"/>
          <w:sz w:val="24"/>
          <w:szCs w:val="24"/>
        </w:rPr>
      </w:pPr>
      <w:r w:rsidRPr="00C23239">
        <w:rPr>
          <w:rFonts w:ascii="Calibri" w:hAnsi="Calibri" w:cs="Calibri"/>
          <w:color w:val="262626" w:themeColor="text1" w:themeTint="D9"/>
          <w:sz w:val="24"/>
          <w:szCs w:val="24"/>
        </w:rPr>
        <w:t>prispevkov uporabnikov posebnih socialnih programov ter</w:t>
      </w:r>
    </w:p>
    <w:p w14:paraId="1B55F27F" w14:textId="76D10D71" w:rsidR="00C23239" w:rsidRDefault="00C23239" w:rsidP="00C23239">
      <w:pPr>
        <w:autoSpaceDE w:val="0"/>
        <w:autoSpaceDN w:val="0"/>
        <w:adjustRightInd w:val="0"/>
        <w:spacing w:after="0" w:line="240" w:lineRule="auto"/>
        <w:rPr>
          <w:rFonts w:ascii="Calibri" w:hAnsi="Calibri" w:cs="Calibri"/>
          <w:color w:val="262626" w:themeColor="text1" w:themeTint="D9"/>
          <w:sz w:val="24"/>
          <w:szCs w:val="24"/>
        </w:rPr>
      </w:pPr>
      <w:r w:rsidRPr="00C23239">
        <w:rPr>
          <w:rFonts w:ascii="Calibri" w:hAnsi="Calibri" w:cs="Calibri"/>
          <w:color w:val="262626" w:themeColor="text1" w:themeTint="D9"/>
          <w:sz w:val="24"/>
          <w:szCs w:val="24"/>
        </w:rPr>
        <w:t>članarin in prispevkov članov.</w:t>
      </w:r>
    </w:p>
    <w:p w14:paraId="4CFDAABA" w14:textId="3A8B7305" w:rsidR="00C23239" w:rsidRDefault="00C23239" w:rsidP="00C23239">
      <w:pPr>
        <w:autoSpaceDE w:val="0"/>
        <w:autoSpaceDN w:val="0"/>
        <w:adjustRightInd w:val="0"/>
        <w:spacing w:after="0" w:line="240" w:lineRule="auto"/>
        <w:rPr>
          <w:rFonts w:ascii="Calibri" w:hAnsi="Calibri" w:cs="Calibri"/>
          <w:color w:val="262626" w:themeColor="text1" w:themeTint="D9"/>
          <w:sz w:val="24"/>
          <w:szCs w:val="24"/>
        </w:rPr>
      </w:pPr>
    </w:p>
    <w:p w14:paraId="12C84B4E" w14:textId="24C49FD9" w:rsidR="00C23239" w:rsidRDefault="00C23239" w:rsidP="00C23239">
      <w:pPr>
        <w:autoSpaceDE w:val="0"/>
        <w:autoSpaceDN w:val="0"/>
        <w:adjustRightInd w:val="0"/>
        <w:spacing w:after="0" w:line="240" w:lineRule="auto"/>
        <w:rPr>
          <w:rFonts w:ascii="Calibri" w:hAnsi="Calibri" w:cs="Calibri"/>
          <w:color w:val="262626" w:themeColor="text1" w:themeTint="D9"/>
          <w:sz w:val="24"/>
          <w:szCs w:val="24"/>
        </w:rPr>
      </w:pPr>
      <w:r w:rsidRPr="00C23239">
        <w:rPr>
          <w:rFonts w:ascii="Calibri" w:hAnsi="Calibri" w:cs="Calibri"/>
          <w:color w:val="262626" w:themeColor="text1" w:themeTint="D9"/>
          <w:sz w:val="24"/>
          <w:szCs w:val="24"/>
        </w:rPr>
        <w:t>Po enotnem kontnem načrtu za zasebni sektor (gospodarske družbe, društva, nepridobitne organizacije) se ti prihodki evidentirajo v skupini kontov 768 – Drugi prihodki, povezani s poslovnimi učinki (subvencije, dotacije, regresi, kompenzacije, premije …). Te postavke prihodkov društva razkrijejo v pojasnilih k izkazu poslovnega izida, in to po vrednostih in po dajalcih. Lahko pa pojasnijo tudi njihovo vključevanje v obračun davka od dohodkov pravnih oseb.</w:t>
      </w:r>
    </w:p>
    <w:p w14:paraId="2635032D" w14:textId="5AC7A9CA" w:rsidR="00C23239" w:rsidRDefault="00C23239" w:rsidP="00C23239">
      <w:pPr>
        <w:autoSpaceDE w:val="0"/>
        <w:autoSpaceDN w:val="0"/>
        <w:adjustRightInd w:val="0"/>
        <w:spacing w:after="0" w:line="240" w:lineRule="auto"/>
        <w:rPr>
          <w:rFonts w:ascii="Calibri" w:hAnsi="Calibri" w:cs="Calibri"/>
          <w:color w:val="262626" w:themeColor="text1" w:themeTint="D9"/>
          <w:sz w:val="24"/>
          <w:szCs w:val="24"/>
        </w:rPr>
      </w:pPr>
    </w:p>
    <w:p w14:paraId="38C99F6C" w14:textId="6376672C" w:rsidR="00C23239" w:rsidRDefault="00C23239" w:rsidP="00C23239">
      <w:pPr>
        <w:autoSpaceDE w:val="0"/>
        <w:autoSpaceDN w:val="0"/>
        <w:adjustRightInd w:val="0"/>
        <w:spacing w:after="0" w:line="240" w:lineRule="auto"/>
        <w:rPr>
          <w:rFonts w:ascii="Calibri" w:hAnsi="Calibri" w:cs="Calibri"/>
          <w:color w:val="262626" w:themeColor="text1" w:themeTint="D9"/>
          <w:sz w:val="24"/>
          <w:szCs w:val="24"/>
        </w:rPr>
      </w:pPr>
      <w:r w:rsidRPr="00C23239">
        <w:rPr>
          <w:rFonts w:ascii="Calibri" w:hAnsi="Calibri" w:cs="Calibri"/>
          <w:color w:val="262626" w:themeColor="text1" w:themeTint="D9"/>
          <w:sz w:val="24"/>
          <w:szCs w:val="24"/>
        </w:rPr>
        <w:t>Društva morajo zagotoviti podatke o svojem finančnem in materialnem poslovanju na način in v obliki, ki ju določijo s temeljnim ali posebnim aktom. Načeloma morajo za zagotovitev podatkov tudi nekatera sredstva in obveznosti izkazovati ločeno, če želijo zagotoviti ločene podatke o prihodkih in odhodkih, ki se na ta sredstva in obveznosti nanašajo: na primer ločeno vodenje opredmetenih osnovnih sredstev, da lahko zagotovijo ločene podatke o stroških amortizacije.</w:t>
      </w:r>
    </w:p>
    <w:p w14:paraId="128D4204" w14:textId="502A5F0E" w:rsidR="001231E7" w:rsidRDefault="001231E7" w:rsidP="00A36C6B">
      <w:pPr>
        <w:autoSpaceDE w:val="0"/>
        <w:autoSpaceDN w:val="0"/>
        <w:adjustRightInd w:val="0"/>
        <w:spacing w:after="0" w:line="240" w:lineRule="auto"/>
        <w:rPr>
          <w:rFonts w:ascii="Calibri" w:hAnsi="Calibri" w:cs="Calibri"/>
          <w:color w:val="262626" w:themeColor="text1" w:themeTint="D9"/>
          <w:sz w:val="24"/>
          <w:szCs w:val="24"/>
        </w:rPr>
      </w:pPr>
    </w:p>
    <w:p w14:paraId="32916F8A" w14:textId="1070DDD3" w:rsidR="001231E7" w:rsidRDefault="001231E7" w:rsidP="00A36C6B">
      <w:pPr>
        <w:autoSpaceDE w:val="0"/>
        <w:autoSpaceDN w:val="0"/>
        <w:adjustRightInd w:val="0"/>
        <w:spacing w:after="0" w:line="240" w:lineRule="auto"/>
        <w:rPr>
          <w:rFonts w:ascii="Calibri" w:hAnsi="Calibri" w:cs="Calibri"/>
          <w:color w:val="262626" w:themeColor="text1" w:themeTint="D9"/>
          <w:sz w:val="24"/>
          <w:szCs w:val="24"/>
        </w:rPr>
      </w:pPr>
    </w:p>
    <w:p w14:paraId="54FA8F37" w14:textId="77777777" w:rsidR="001231E7" w:rsidRDefault="001231E7" w:rsidP="00A36C6B">
      <w:pPr>
        <w:autoSpaceDE w:val="0"/>
        <w:autoSpaceDN w:val="0"/>
        <w:adjustRightInd w:val="0"/>
        <w:spacing w:after="0" w:line="240" w:lineRule="auto"/>
        <w:rPr>
          <w:rFonts w:ascii="Calibri" w:hAnsi="Calibri" w:cs="Calibri"/>
          <w:color w:val="262626" w:themeColor="text1" w:themeTint="D9"/>
          <w:sz w:val="24"/>
          <w:szCs w:val="24"/>
        </w:rPr>
      </w:pPr>
    </w:p>
    <w:p w14:paraId="388BB71F" w14:textId="5060FE04" w:rsidR="00A36C6B" w:rsidRDefault="00A36C6B" w:rsidP="00A36C6B">
      <w:pPr>
        <w:autoSpaceDE w:val="0"/>
        <w:autoSpaceDN w:val="0"/>
        <w:adjustRightInd w:val="0"/>
        <w:spacing w:after="0" w:line="240" w:lineRule="auto"/>
        <w:rPr>
          <w:rFonts w:ascii="Calibri" w:hAnsi="Calibri" w:cs="Calibri"/>
          <w:b/>
          <w:bCs/>
          <w:color w:val="262626" w:themeColor="text1" w:themeTint="D9"/>
          <w:sz w:val="24"/>
          <w:szCs w:val="24"/>
          <w:u w:val="single"/>
        </w:rPr>
      </w:pPr>
      <w:r>
        <w:rPr>
          <w:rFonts w:ascii="Calibri" w:hAnsi="Calibri" w:cs="Calibri"/>
          <w:b/>
          <w:bCs/>
          <w:color w:val="262626" w:themeColor="text1" w:themeTint="D9"/>
          <w:sz w:val="24"/>
          <w:szCs w:val="24"/>
          <w:u w:val="single"/>
        </w:rPr>
        <w:t>Kaj obsegajo po</w:t>
      </w:r>
      <w:r w:rsidRPr="00A36C6B">
        <w:rPr>
          <w:rFonts w:ascii="Calibri" w:hAnsi="Calibri" w:cs="Calibri"/>
          <w:b/>
          <w:bCs/>
          <w:color w:val="262626" w:themeColor="text1" w:themeTint="D9"/>
          <w:sz w:val="24"/>
          <w:szCs w:val="24"/>
          <w:u w:val="single"/>
        </w:rPr>
        <w:t>ojasnila k računovodskima izkazoma</w:t>
      </w:r>
      <w:r w:rsidR="008C3001">
        <w:rPr>
          <w:rFonts w:ascii="Calibri" w:hAnsi="Calibri" w:cs="Calibri"/>
          <w:b/>
          <w:bCs/>
          <w:color w:val="262626" w:themeColor="text1" w:themeTint="D9"/>
          <w:sz w:val="24"/>
          <w:szCs w:val="24"/>
          <w:u w:val="single"/>
        </w:rPr>
        <w:t xml:space="preserve"> za društva</w:t>
      </w:r>
      <w:r>
        <w:rPr>
          <w:rFonts w:ascii="Calibri" w:hAnsi="Calibri" w:cs="Calibri"/>
          <w:b/>
          <w:bCs/>
          <w:color w:val="262626" w:themeColor="text1" w:themeTint="D9"/>
          <w:sz w:val="24"/>
          <w:szCs w:val="24"/>
          <w:u w:val="single"/>
        </w:rPr>
        <w:t>?</w:t>
      </w:r>
    </w:p>
    <w:p w14:paraId="7C1BA896" w14:textId="4C1F8DDC" w:rsidR="00A36C6B" w:rsidRDefault="00A36C6B" w:rsidP="00A36C6B">
      <w:pPr>
        <w:autoSpaceDE w:val="0"/>
        <w:autoSpaceDN w:val="0"/>
        <w:adjustRightInd w:val="0"/>
        <w:spacing w:after="0" w:line="240" w:lineRule="auto"/>
        <w:rPr>
          <w:rFonts w:ascii="Calibri" w:hAnsi="Calibri" w:cs="Calibri"/>
          <w:b/>
          <w:bCs/>
          <w:color w:val="262626" w:themeColor="text1" w:themeTint="D9"/>
          <w:sz w:val="24"/>
          <w:szCs w:val="24"/>
          <w:u w:val="single"/>
        </w:rPr>
      </w:pPr>
    </w:p>
    <w:p w14:paraId="51277442" w14:textId="77777777" w:rsidR="00A36C6B" w:rsidRPr="00A36C6B" w:rsidRDefault="00A36C6B" w:rsidP="00A36C6B">
      <w:p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t>Pojasnila k računovodskima izkazoma obsegajo</w:t>
      </w:r>
    </w:p>
    <w:p w14:paraId="71A3E722" w14:textId="77777777" w:rsidR="00A36C6B" w:rsidRPr="00A36C6B" w:rsidRDefault="00A36C6B" w:rsidP="00A36C6B">
      <w:pPr>
        <w:autoSpaceDE w:val="0"/>
        <w:autoSpaceDN w:val="0"/>
        <w:adjustRightInd w:val="0"/>
        <w:spacing w:after="0" w:line="240" w:lineRule="auto"/>
        <w:rPr>
          <w:rFonts w:ascii="Calibri" w:hAnsi="Calibri" w:cs="Calibri"/>
          <w:color w:val="262626" w:themeColor="text1" w:themeTint="D9"/>
          <w:sz w:val="24"/>
          <w:szCs w:val="24"/>
        </w:rPr>
      </w:pPr>
    </w:p>
    <w:p w14:paraId="71920510" w14:textId="34A42E0E" w:rsidR="00A36C6B" w:rsidRDefault="00A36C6B" w:rsidP="00A36C6B">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t>pojasnilo glede ureditve materialnega in finančnega poslovanja v notranjih aktih, saj ZDru-1 določa, da mora društvo zagotavljati podatke o svojem finančnem in materialnem poslovanju na način in v obliki, ki ju določi s temeljnim ali posebnim aktom v skladu z ZDru-1 in SRS 33; v takem aktu je smiselno urediti tudi vsebino in razkritja v letnih poročilih po zakonu in standardih;</w:t>
      </w:r>
    </w:p>
    <w:p w14:paraId="1987A10F" w14:textId="5096D029" w:rsidR="00A36C6B" w:rsidRDefault="00A36C6B" w:rsidP="00A36C6B">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t>pojasnilo glede uporabe SRS: ali društvo uporablja SRS 33 (po potrebi tudi splošne SRS) ali le splošne SRS (po potrebi tudi SRS 33, vendar ne pri merjenju in vrednotenju računovodskih postavk, ampak pri pripravi letnega poročila, pri vodenju poslovnih knjig, pri uporabi kontnega načrta, pri knjigovodskih listinah, pri popisovanju in drugem);</w:t>
      </w:r>
    </w:p>
    <w:p w14:paraId="44BC9A6C" w14:textId="21E16836" w:rsidR="00A36C6B" w:rsidRDefault="00A36C6B" w:rsidP="00A36C6B">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t>pojasnilo glede načina vodenja knjig, pri čemer društvo pojasni, kako vodi knjige: dvostavno, enostavno ali poenostavljeno glede na sodila iz 26. člena ZDru-1;</w:t>
      </w:r>
    </w:p>
    <w:p w14:paraId="5F67A12E" w14:textId="18DB82F3" w:rsidR="00A36C6B" w:rsidRDefault="00A36C6B" w:rsidP="00A36C6B">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lastRenderedPageBreak/>
        <w:t>pojasnilo glede ločenega vodenja knjig za pridobitno in nepridobitno dejavnost, saj mora društvo podatke o finančnem in materialnem poslovanju iz pridobitne dejavnosti voditi in izkazovati ločeno, ter pojasnilo sodil za razdelitev stroškov med pridobitno in nepridobitno dejavnost;</w:t>
      </w:r>
    </w:p>
    <w:p w14:paraId="657A2AB4" w14:textId="77777777" w:rsidR="00A36C6B" w:rsidRPr="00A36C6B" w:rsidRDefault="00A36C6B" w:rsidP="00A36C6B">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t>pojasnilo glede porabe presežka prihodkov nad odhodki, saj morajo poslovne knjige in letno poročilo omogočiti presojo, ali so presežki prihodkov nad odhodki porabljeni za namene, določene v 24/3 ZDru-1;</w:t>
      </w:r>
    </w:p>
    <w:p w14:paraId="383B70B4" w14:textId="17087BE2" w:rsidR="00A36C6B" w:rsidRDefault="00A36C6B" w:rsidP="00A36C6B">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t>pojasnilo glede revidiranja računovodskih izkazov, če je društvo k temu zavezano: kdo je revidiral računovodske izkaze (in poslovno poročilo), potek revidiranja, čas postopka, sodelovanje z revizorjem in podobno;</w:t>
      </w:r>
    </w:p>
    <w:p w14:paraId="3B85472C" w14:textId="46679CF8" w:rsidR="00A36C6B" w:rsidRDefault="00A36C6B" w:rsidP="00A36C6B">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t>pojasnilo glede revizorjevega mnenja o usklajenosti vodenja poslovnih knjig in letnih poročil s standardi ter primernost porabe presežka prihodkov, kot je določena v temeljnem aktu, to je za opravljanje nepridobitne dejavnosti društva; tu društvo tudi pojasni oblikovanje rezerv in namenskih skladov za izobraževalne, socialne in druge namene v skladu s svojimi pravili in odločitvami pa tudi pokrivanje presežka odhodkov iz prejšnjih obračunskih obdobij iz rezerv in iz posameznih delov društvenega</w:t>
      </w:r>
      <w:r w:rsidR="00E41AAE">
        <w:rPr>
          <w:rFonts w:ascii="Calibri" w:hAnsi="Calibri" w:cs="Calibri"/>
          <w:color w:val="262626" w:themeColor="text1" w:themeTint="D9"/>
          <w:sz w:val="24"/>
          <w:szCs w:val="24"/>
        </w:rPr>
        <w:t xml:space="preserve"> </w:t>
      </w:r>
      <w:r>
        <w:rPr>
          <w:rFonts w:ascii="Calibri" w:hAnsi="Calibri" w:cs="Calibri"/>
          <w:color w:val="262626" w:themeColor="text1" w:themeTint="D9"/>
          <w:sz w:val="24"/>
          <w:szCs w:val="24"/>
        </w:rPr>
        <w:t xml:space="preserve">sklada; </w:t>
      </w:r>
    </w:p>
    <w:p w14:paraId="7856E429" w14:textId="0FFDAFB6" w:rsidR="00A36C6B" w:rsidRDefault="00A36C6B" w:rsidP="00A36C6B">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A36C6B">
        <w:rPr>
          <w:rFonts w:ascii="Calibri" w:hAnsi="Calibri" w:cs="Calibri"/>
          <w:color w:val="262626" w:themeColor="text1" w:themeTint="D9"/>
          <w:sz w:val="24"/>
          <w:szCs w:val="24"/>
        </w:rPr>
        <w:t>pojasnilo glede računovodskih usmeritev: glede načina računovodskega obravnavanja posameznih računovodskih kategorij v povezavi s pojasnjevanjem posameznih postavk;</w:t>
      </w:r>
    </w:p>
    <w:p w14:paraId="124A95E3" w14:textId="12FE45D9" w:rsidR="00E41AAE" w:rsidRDefault="00E41AAE" w:rsidP="00A36C6B">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E41AAE">
        <w:rPr>
          <w:rFonts w:ascii="Calibri" w:hAnsi="Calibri" w:cs="Calibri"/>
          <w:color w:val="262626" w:themeColor="text1" w:themeTint="D9"/>
          <w:sz w:val="24"/>
          <w:szCs w:val="24"/>
        </w:rPr>
        <w:t>pojasnilo glede sprememb posameznih računovodskih kategorij v obračunskem letu: kakšne so bile, kako so vplivale na druge dele poslovanja društva in podobno;</w:t>
      </w:r>
    </w:p>
    <w:p w14:paraId="3FCA5A18" w14:textId="0862F2D2" w:rsidR="00E41AAE" w:rsidRDefault="00E41AAE" w:rsidP="00A36C6B">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E41AAE">
        <w:rPr>
          <w:rFonts w:ascii="Calibri" w:hAnsi="Calibri" w:cs="Calibri"/>
          <w:color w:val="262626" w:themeColor="text1" w:themeTint="D9"/>
          <w:sz w:val="24"/>
          <w:szCs w:val="24"/>
        </w:rPr>
        <w:t>pojasnilo glede normativnih sprememb v okolju društva, ki neposredno vpliva na njegovo materialno in finančno poslovanje: glede davčnih, finančnih in računovodskih predpisov;</w:t>
      </w:r>
    </w:p>
    <w:p w14:paraId="647AA754" w14:textId="77777777" w:rsidR="00E41AAE" w:rsidRPr="00E41AAE" w:rsidRDefault="00E41AAE" w:rsidP="00E41AAE">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E41AAE">
        <w:rPr>
          <w:rFonts w:ascii="Calibri" w:hAnsi="Calibri" w:cs="Calibri"/>
          <w:color w:val="262626" w:themeColor="text1" w:themeTint="D9"/>
          <w:sz w:val="24"/>
          <w:szCs w:val="24"/>
        </w:rPr>
        <w:t>pojasnilo glede notranjega finančnega nadzora v društvu in tudi</w:t>
      </w:r>
    </w:p>
    <w:p w14:paraId="570A1A7C" w14:textId="4702E78A" w:rsidR="00E41AAE" w:rsidRDefault="00E41AAE" w:rsidP="00E41AAE">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E41AAE">
        <w:rPr>
          <w:rFonts w:ascii="Calibri" w:hAnsi="Calibri" w:cs="Calibri"/>
          <w:color w:val="262626" w:themeColor="text1" w:themeTint="D9"/>
          <w:sz w:val="24"/>
          <w:szCs w:val="24"/>
        </w:rPr>
        <w:t>pojasnilo glede popisovanja oziroma usklajevanja knjigovodskega stanja z dejanskim.</w:t>
      </w:r>
    </w:p>
    <w:p w14:paraId="58DF6F09" w14:textId="0EB39386" w:rsidR="00E41AAE" w:rsidRDefault="00E41AAE" w:rsidP="00E41AAE">
      <w:pPr>
        <w:autoSpaceDE w:val="0"/>
        <w:autoSpaceDN w:val="0"/>
        <w:adjustRightInd w:val="0"/>
        <w:spacing w:after="0" w:line="240" w:lineRule="auto"/>
        <w:rPr>
          <w:rFonts w:ascii="Calibri" w:hAnsi="Calibri" w:cs="Calibri"/>
          <w:color w:val="262626" w:themeColor="text1" w:themeTint="D9"/>
          <w:sz w:val="24"/>
          <w:szCs w:val="24"/>
        </w:rPr>
      </w:pPr>
    </w:p>
    <w:p w14:paraId="1A2F3AB2" w14:textId="40BB7EA4" w:rsidR="00E41AAE" w:rsidRDefault="00E41AAE" w:rsidP="00E41AAE">
      <w:pPr>
        <w:autoSpaceDE w:val="0"/>
        <w:autoSpaceDN w:val="0"/>
        <w:adjustRightInd w:val="0"/>
        <w:spacing w:after="0" w:line="240" w:lineRule="auto"/>
        <w:rPr>
          <w:rFonts w:ascii="Calibri" w:hAnsi="Calibri" w:cs="Calibri"/>
          <w:color w:val="262626" w:themeColor="text1" w:themeTint="D9"/>
          <w:sz w:val="24"/>
          <w:szCs w:val="24"/>
        </w:rPr>
      </w:pPr>
      <w:r w:rsidRPr="00E41AAE">
        <w:rPr>
          <w:rFonts w:ascii="Calibri" w:hAnsi="Calibri" w:cs="Calibri"/>
          <w:color w:val="262626" w:themeColor="text1" w:themeTint="D9"/>
          <w:sz w:val="24"/>
          <w:szCs w:val="24"/>
        </w:rPr>
        <w:t>Društva lahko tako za posamezne računovodske kategorije navedejo le tista razkritja, ki so v skladu s SRS, ali pa razkritja po svoji presoji, vendar ne manj, kot je določeno bodisi v zakonu bodisi v SRS.</w:t>
      </w:r>
      <w:r>
        <w:rPr>
          <w:rFonts w:ascii="Calibri" w:hAnsi="Calibri" w:cs="Calibri"/>
          <w:color w:val="262626" w:themeColor="text1" w:themeTint="D9"/>
          <w:sz w:val="24"/>
          <w:szCs w:val="24"/>
        </w:rPr>
        <w:t xml:space="preserve"> </w:t>
      </w:r>
      <w:r w:rsidRPr="00E41AAE">
        <w:rPr>
          <w:rFonts w:ascii="Calibri" w:hAnsi="Calibri" w:cs="Calibri"/>
          <w:color w:val="262626" w:themeColor="text1" w:themeTint="D9"/>
          <w:sz w:val="24"/>
          <w:szCs w:val="24"/>
        </w:rPr>
        <w:t>V računovodskem poročilu morajo društva razkriti oziroma pojasniti najmanj tiste računovodske postavke, ki vplivajo na sprejetje letnega poročila, način pa je seveda odvisen od njihove odločitve. Zaporedje razkritij posameznih računovodskih kategorij se lahko ujema z zaporedjem postavk v bilanci stanja in izkazu prihodkov in odhodkov, lahko pojasnijo samo izstopajoče postavke, kot izhajajo iz bilance stanja in izkaza prihodkov, ali pa oboje smiselno kombinirajo.</w:t>
      </w:r>
      <w:r>
        <w:rPr>
          <w:rFonts w:ascii="Calibri" w:hAnsi="Calibri" w:cs="Calibri"/>
          <w:color w:val="262626" w:themeColor="text1" w:themeTint="D9"/>
          <w:sz w:val="24"/>
          <w:szCs w:val="24"/>
        </w:rPr>
        <w:t xml:space="preserve"> </w:t>
      </w:r>
      <w:r w:rsidRPr="00E41AAE">
        <w:rPr>
          <w:rFonts w:ascii="Calibri" w:hAnsi="Calibri" w:cs="Calibri"/>
          <w:color w:val="262626" w:themeColor="text1" w:themeTint="D9"/>
          <w:sz w:val="24"/>
          <w:szCs w:val="24"/>
        </w:rPr>
        <w:t>V pojasnilih k računovodskim izkazom podajo strogo računovodska pojasnila, v poslovnem delu pa računovodske kategorije povežejo z izpolnjevanjem svojih nalog in ciljev.</w:t>
      </w:r>
    </w:p>
    <w:p w14:paraId="66D43ACD" w14:textId="73F62C72" w:rsidR="00E41AAE" w:rsidRDefault="00E41AAE" w:rsidP="00E41AAE">
      <w:pPr>
        <w:autoSpaceDE w:val="0"/>
        <w:autoSpaceDN w:val="0"/>
        <w:adjustRightInd w:val="0"/>
        <w:spacing w:after="0" w:line="240" w:lineRule="auto"/>
        <w:rPr>
          <w:rFonts w:ascii="Calibri" w:hAnsi="Calibri" w:cs="Calibri"/>
          <w:color w:val="262626" w:themeColor="text1" w:themeTint="D9"/>
          <w:sz w:val="24"/>
          <w:szCs w:val="24"/>
        </w:rPr>
      </w:pPr>
    </w:p>
    <w:p w14:paraId="45C20777" w14:textId="77777777" w:rsidR="00961DCD" w:rsidRDefault="00961DCD" w:rsidP="00E41AAE">
      <w:pPr>
        <w:autoSpaceDE w:val="0"/>
        <w:autoSpaceDN w:val="0"/>
        <w:adjustRightInd w:val="0"/>
        <w:spacing w:after="0" w:line="240" w:lineRule="auto"/>
        <w:rPr>
          <w:rFonts w:ascii="Calibri" w:hAnsi="Calibri" w:cs="Calibri"/>
          <w:b/>
          <w:bCs/>
          <w:color w:val="262626" w:themeColor="text1" w:themeTint="D9"/>
          <w:sz w:val="24"/>
          <w:szCs w:val="24"/>
          <w:u w:val="single"/>
        </w:rPr>
      </w:pPr>
    </w:p>
    <w:p w14:paraId="0A46F12A" w14:textId="77777777" w:rsidR="00961DCD" w:rsidRDefault="00961DCD" w:rsidP="00E41AAE">
      <w:pPr>
        <w:autoSpaceDE w:val="0"/>
        <w:autoSpaceDN w:val="0"/>
        <w:adjustRightInd w:val="0"/>
        <w:spacing w:after="0" w:line="240" w:lineRule="auto"/>
        <w:rPr>
          <w:rFonts w:ascii="Calibri" w:hAnsi="Calibri" w:cs="Calibri"/>
          <w:b/>
          <w:bCs/>
          <w:color w:val="262626" w:themeColor="text1" w:themeTint="D9"/>
          <w:sz w:val="24"/>
          <w:szCs w:val="24"/>
          <w:u w:val="single"/>
        </w:rPr>
      </w:pPr>
    </w:p>
    <w:p w14:paraId="017AD2F5" w14:textId="77777777" w:rsidR="00961DCD" w:rsidRDefault="00961DCD" w:rsidP="00E41AAE">
      <w:pPr>
        <w:autoSpaceDE w:val="0"/>
        <w:autoSpaceDN w:val="0"/>
        <w:adjustRightInd w:val="0"/>
        <w:spacing w:after="0" w:line="240" w:lineRule="auto"/>
        <w:rPr>
          <w:rFonts w:ascii="Calibri" w:hAnsi="Calibri" w:cs="Calibri"/>
          <w:b/>
          <w:bCs/>
          <w:color w:val="262626" w:themeColor="text1" w:themeTint="D9"/>
          <w:sz w:val="24"/>
          <w:szCs w:val="24"/>
          <w:u w:val="single"/>
        </w:rPr>
      </w:pPr>
    </w:p>
    <w:p w14:paraId="57B793CD" w14:textId="33FDC309" w:rsidR="00961DCD" w:rsidRDefault="00961DCD" w:rsidP="00E41AAE">
      <w:pPr>
        <w:autoSpaceDE w:val="0"/>
        <w:autoSpaceDN w:val="0"/>
        <w:adjustRightInd w:val="0"/>
        <w:spacing w:after="0" w:line="240" w:lineRule="auto"/>
        <w:rPr>
          <w:rFonts w:ascii="Calibri" w:hAnsi="Calibri" w:cs="Calibri"/>
          <w:b/>
          <w:bCs/>
          <w:color w:val="262626" w:themeColor="text1" w:themeTint="D9"/>
          <w:sz w:val="24"/>
          <w:szCs w:val="24"/>
          <w:u w:val="single"/>
        </w:rPr>
      </w:pPr>
    </w:p>
    <w:p w14:paraId="292FF31B" w14:textId="2F8E2D8C" w:rsidR="00C23239" w:rsidRDefault="00C23239" w:rsidP="00E41AAE">
      <w:pPr>
        <w:autoSpaceDE w:val="0"/>
        <w:autoSpaceDN w:val="0"/>
        <w:adjustRightInd w:val="0"/>
        <w:spacing w:after="0" w:line="240" w:lineRule="auto"/>
        <w:rPr>
          <w:rFonts w:ascii="Calibri" w:hAnsi="Calibri" w:cs="Calibri"/>
          <w:b/>
          <w:bCs/>
          <w:color w:val="262626" w:themeColor="text1" w:themeTint="D9"/>
          <w:sz w:val="24"/>
          <w:szCs w:val="24"/>
          <w:u w:val="single"/>
        </w:rPr>
      </w:pPr>
    </w:p>
    <w:p w14:paraId="7C762C6C" w14:textId="5C931FE5" w:rsidR="00C23239" w:rsidRDefault="00C23239" w:rsidP="00E41AAE">
      <w:pPr>
        <w:autoSpaceDE w:val="0"/>
        <w:autoSpaceDN w:val="0"/>
        <w:adjustRightInd w:val="0"/>
        <w:spacing w:after="0" w:line="240" w:lineRule="auto"/>
        <w:rPr>
          <w:rFonts w:ascii="Calibri" w:hAnsi="Calibri" w:cs="Calibri"/>
          <w:b/>
          <w:bCs/>
          <w:color w:val="262626" w:themeColor="text1" w:themeTint="D9"/>
          <w:sz w:val="24"/>
          <w:szCs w:val="24"/>
          <w:u w:val="single"/>
        </w:rPr>
      </w:pPr>
    </w:p>
    <w:p w14:paraId="133B8D5A" w14:textId="6EAA8484" w:rsidR="00C23239" w:rsidRDefault="00C23239" w:rsidP="00E41AAE">
      <w:pPr>
        <w:autoSpaceDE w:val="0"/>
        <w:autoSpaceDN w:val="0"/>
        <w:adjustRightInd w:val="0"/>
        <w:spacing w:after="0" w:line="240" w:lineRule="auto"/>
        <w:rPr>
          <w:rFonts w:ascii="Calibri" w:hAnsi="Calibri" w:cs="Calibri"/>
          <w:b/>
          <w:bCs/>
          <w:color w:val="262626" w:themeColor="text1" w:themeTint="D9"/>
          <w:sz w:val="24"/>
          <w:szCs w:val="24"/>
          <w:u w:val="single"/>
        </w:rPr>
      </w:pPr>
    </w:p>
    <w:p w14:paraId="1EAABF74" w14:textId="77777777" w:rsidR="00C23239" w:rsidRDefault="00C23239" w:rsidP="00E41AAE">
      <w:pPr>
        <w:autoSpaceDE w:val="0"/>
        <w:autoSpaceDN w:val="0"/>
        <w:adjustRightInd w:val="0"/>
        <w:spacing w:after="0" w:line="240" w:lineRule="auto"/>
        <w:rPr>
          <w:rFonts w:ascii="Calibri" w:hAnsi="Calibri" w:cs="Calibri"/>
          <w:b/>
          <w:bCs/>
          <w:color w:val="262626" w:themeColor="text1" w:themeTint="D9"/>
          <w:sz w:val="24"/>
          <w:szCs w:val="24"/>
          <w:u w:val="single"/>
        </w:rPr>
      </w:pPr>
    </w:p>
    <w:p w14:paraId="46140D92" w14:textId="5FFBBE12" w:rsidR="00E41AAE" w:rsidRPr="00E41AAE" w:rsidRDefault="00961DCD" w:rsidP="00E41AAE">
      <w:pPr>
        <w:autoSpaceDE w:val="0"/>
        <w:autoSpaceDN w:val="0"/>
        <w:adjustRightInd w:val="0"/>
        <w:spacing w:after="0" w:line="240" w:lineRule="auto"/>
        <w:rPr>
          <w:rFonts w:ascii="Calibri" w:hAnsi="Calibri" w:cs="Calibri"/>
          <w:b/>
          <w:bCs/>
          <w:color w:val="262626" w:themeColor="text1" w:themeTint="D9"/>
          <w:sz w:val="24"/>
          <w:szCs w:val="24"/>
          <w:u w:val="single"/>
        </w:rPr>
      </w:pPr>
      <w:r>
        <w:rPr>
          <w:rFonts w:ascii="Calibri" w:hAnsi="Calibri" w:cs="Calibri"/>
          <w:b/>
          <w:bCs/>
          <w:color w:val="262626" w:themeColor="text1" w:themeTint="D9"/>
          <w:sz w:val="24"/>
          <w:szCs w:val="24"/>
          <w:u w:val="single"/>
        </w:rPr>
        <w:lastRenderedPageBreak/>
        <w:t>P</w:t>
      </w:r>
      <w:r w:rsidR="00E41AAE" w:rsidRPr="00E41AAE">
        <w:rPr>
          <w:rFonts w:ascii="Calibri" w:hAnsi="Calibri" w:cs="Calibri"/>
          <w:b/>
          <w:bCs/>
          <w:color w:val="262626" w:themeColor="text1" w:themeTint="D9"/>
          <w:sz w:val="24"/>
          <w:szCs w:val="24"/>
          <w:u w:val="single"/>
        </w:rPr>
        <w:t>oslovno poročilo</w:t>
      </w:r>
      <w:r w:rsidR="008C3001">
        <w:rPr>
          <w:rFonts w:ascii="Calibri" w:hAnsi="Calibri" w:cs="Calibri"/>
          <w:b/>
          <w:bCs/>
          <w:color w:val="262626" w:themeColor="text1" w:themeTint="D9"/>
          <w:sz w:val="24"/>
          <w:szCs w:val="24"/>
          <w:u w:val="single"/>
        </w:rPr>
        <w:t xml:space="preserve"> za društva </w:t>
      </w:r>
    </w:p>
    <w:p w14:paraId="23FDD7DF" w14:textId="0C9AE7C2" w:rsidR="00E41AAE" w:rsidRDefault="00E41AAE" w:rsidP="00E41AAE">
      <w:pPr>
        <w:autoSpaceDE w:val="0"/>
        <w:autoSpaceDN w:val="0"/>
        <w:adjustRightInd w:val="0"/>
        <w:spacing w:after="0" w:line="240" w:lineRule="auto"/>
        <w:rPr>
          <w:rFonts w:ascii="Calibri" w:hAnsi="Calibri" w:cs="Calibri"/>
          <w:color w:val="262626" w:themeColor="text1" w:themeTint="D9"/>
          <w:sz w:val="24"/>
          <w:szCs w:val="24"/>
        </w:rPr>
      </w:pPr>
    </w:p>
    <w:p w14:paraId="2DB9B5F9" w14:textId="1B79E31F" w:rsidR="00E41AAE" w:rsidRDefault="00E41AAE" w:rsidP="00E41AAE">
      <w:pPr>
        <w:autoSpaceDE w:val="0"/>
        <w:autoSpaceDN w:val="0"/>
        <w:adjustRightInd w:val="0"/>
        <w:spacing w:after="0" w:line="240" w:lineRule="auto"/>
        <w:rPr>
          <w:rFonts w:ascii="Calibri" w:hAnsi="Calibri" w:cs="Calibri"/>
          <w:color w:val="262626" w:themeColor="text1" w:themeTint="D9"/>
          <w:sz w:val="24"/>
          <w:szCs w:val="24"/>
        </w:rPr>
      </w:pPr>
      <w:r w:rsidRPr="00E41AAE">
        <w:rPr>
          <w:rFonts w:ascii="Calibri" w:hAnsi="Calibri" w:cs="Calibri"/>
          <w:color w:val="262626" w:themeColor="text1" w:themeTint="D9"/>
          <w:sz w:val="24"/>
          <w:szCs w:val="24"/>
        </w:rPr>
        <w:t>Poslovna poročila, ki jih pripravijo društva, vsebujejo opis poslovanja v obračunskem obdobju, za katero jih sestavljajo, in sicer predvsem način uresničevanja namena in ciljev, opredeljenih v temeljnem aktu in finančnih načrtih, ter opis drugih pomembnih zadev s področja njihovega poslovanja, ki pripomorejo k boljšemu razumevanju letnega poročila.</w:t>
      </w:r>
    </w:p>
    <w:p w14:paraId="5CE36212" w14:textId="085012D3" w:rsidR="0063217C" w:rsidRDefault="00E41AAE" w:rsidP="00E41AAE">
      <w:pPr>
        <w:autoSpaceDE w:val="0"/>
        <w:autoSpaceDN w:val="0"/>
        <w:adjustRightInd w:val="0"/>
        <w:spacing w:after="0" w:line="240" w:lineRule="auto"/>
        <w:rPr>
          <w:rFonts w:ascii="Calibri" w:hAnsi="Calibri" w:cs="Calibri"/>
          <w:color w:val="262626" w:themeColor="text1" w:themeTint="D9"/>
          <w:sz w:val="24"/>
          <w:szCs w:val="24"/>
        </w:rPr>
      </w:pPr>
      <w:r w:rsidRPr="00E41AAE">
        <w:rPr>
          <w:rFonts w:ascii="Calibri" w:hAnsi="Calibri" w:cs="Calibri"/>
          <w:color w:val="262626" w:themeColor="text1" w:themeTint="D9"/>
          <w:sz w:val="24"/>
          <w:szCs w:val="24"/>
        </w:rPr>
        <w:t>Društva, ki opravljajo več vrst pridobitnih dejavnosti, opišejo tudi njihove vrste (kot so opredeljene v ustanoviteljskem aktu) in obseg (glede na opravljene naloge, glede na prihodke in glede na druga možna sodila za ugotavljanje opravljenih nalog v posameznih dejavnostih).</w:t>
      </w:r>
      <w:r>
        <w:rPr>
          <w:rFonts w:ascii="Calibri" w:hAnsi="Calibri" w:cs="Calibri"/>
          <w:color w:val="262626" w:themeColor="text1" w:themeTint="D9"/>
          <w:sz w:val="24"/>
          <w:szCs w:val="24"/>
        </w:rPr>
        <w:t xml:space="preserve"> </w:t>
      </w:r>
      <w:r w:rsidRPr="00E41AAE">
        <w:rPr>
          <w:rFonts w:ascii="Calibri" w:hAnsi="Calibri" w:cs="Calibri"/>
          <w:color w:val="262626" w:themeColor="text1" w:themeTint="D9"/>
          <w:sz w:val="24"/>
          <w:szCs w:val="24"/>
        </w:rPr>
        <w:t>Poslovno poročilo obsega splošni, posebni in zaključni del.</w:t>
      </w:r>
    </w:p>
    <w:p w14:paraId="02EED709" w14:textId="1FBC3875"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12CE9F39" w14:textId="1BBF1976"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0D408FD9" w14:textId="00DB325B"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74277B36" w14:textId="29AEC2A0"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306D4AD1" w14:textId="6BDC13D5"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74F1BF66" w14:textId="794890FB"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6FEEE0CC" w14:textId="3A32D670"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4B5968EB" w14:textId="401ADE3B"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61CC559F" w14:textId="76FDACF2"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7CE0A73D" w14:textId="517CBB95"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393516AD" w14:textId="44B3B2A1"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3CD8A4C7" w14:textId="5E363B69"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6192122B" w14:textId="3BCFF275"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33954F7E" w14:textId="02175837"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549FD560" w14:textId="12C9A1D7"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5C52770A" w14:textId="62ADB4D7"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3CFF7FC3" w14:textId="30D525A5"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7C12018E" w14:textId="59D2A3E3"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00E62CB0" w14:textId="194CFAA9"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3938EB01" w14:textId="579C60E3"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253DCC9E" w14:textId="4EDF8F4E"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71898F3B" w14:textId="4548B9DA"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120EBDEF" w14:textId="5A993637"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42C1C541" w14:textId="1EB93052"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417F8E3C" w14:textId="55806278"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394E8B28" w14:textId="153D5726"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6D450992" w14:textId="0C8D0BCC"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1A0A3800" w14:textId="151315E5"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183BA705" w14:textId="43832077"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1881512C" w14:textId="3413B397"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72DD80F1" w14:textId="36A89CA1"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7D8DA8B9" w14:textId="3E8EB20D"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0351657B" w14:textId="64AEE178"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240CA4DF" w14:textId="141DB530"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52BCB26D" w14:textId="2C15DE15"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5DF5A757" w14:textId="34219B09"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0845675D" w14:textId="699B0C03"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57AD9BF2" w14:textId="2C0AFE6E" w:rsidR="0063217C" w:rsidRPr="00D902DB" w:rsidRDefault="0063217C" w:rsidP="00E41AAE">
      <w:pPr>
        <w:autoSpaceDE w:val="0"/>
        <w:autoSpaceDN w:val="0"/>
        <w:adjustRightInd w:val="0"/>
        <w:spacing w:after="0" w:line="240" w:lineRule="auto"/>
        <w:rPr>
          <w:rFonts w:ascii="Calibri" w:hAnsi="Calibri" w:cs="Calibri"/>
          <w:b/>
          <w:bCs/>
          <w:color w:val="262626" w:themeColor="text1" w:themeTint="D9"/>
          <w:sz w:val="24"/>
          <w:szCs w:val="24"/>
        </w:rPr>
      </w:pPr>
      <w:r w:rsidRPr="00D902DB">
        <w:rPr>
          <w:rFonts w:ascii="Calibri" w:hAnsi="Calibri" w:cs="Calibri"/>
          <w:b/>
          <w:bCs/>
          <w:color w:val="262626" w:themeColor="text1" w:themeTint="D9"/>
          <w:sz w:val="24"/>
          <w:szCs w:val="24"/>
        </w:rPr>
        <w:lastRenderedPageBreak/>
        <w:t xml:space="preserve">KAKO LETNO POROČILO SESTAVIJO PRAVNE OSEBE ZASEBNEGA PRAVA </w:t>
      </w:r>
      <w:r w:rsidR="009E7B16">
        <w:rPr>
          <w:rFonts w:ascii="Calibri" w:hAnsi="Calibri" w:cs="Calibri"/>
          <w:b/>
          <w:bCs/>
          <w:color w:val="262626" w:themeColor="text1" w:themeTint="D9"/>
          <w:sz w:val="24"/>
          <w:szCs w:val="24"/>
        </w:rPr>
        <w:t>(POZP)</w:t>
      </w:r>
    </w:p>
    <w:p w14:paraId="7B838BE5" w14:textId="009AD438" w:rsidR="0063217C" w:rsidRDefault="0063217C" w:rsidP="00E41AAE">
      <w:pPr>
        <w:autoSpaceDE w:val="0"/>
        <w:autoSpaceDN w:val="0"/>
        <w:adjustRightInd w:val="0"/>
        <w:spacing w:after="0" w:line="240" w:lineRule="auto"/>
        <w:rPr>
          <w:rFonts w:ascii="Calibri" w:hAnsi="Calibri" w:cs="Calibri"/>
          <w:color w:val="262626" w:themeColor="text1" w:themeTint="D9"/>
          <w:sz w:val="24"/>
          <w:szCs w:val="24"/>
        </w:rPr>
      </w:pPr>
    </w:p>
    <w:p w14:paraId="270B23CD" w14:textId="77777777" w:rsidR="00D902DB" w:rsidRDefault="00D902DB" w:rsidP="00E41AAE">
      <w:pPr>
        <w:autoSpaceDE w:val="0"/>
        <w:autoSpaceDN w:val="0"/>
        <w:adjustRightInd w:val="0"/>
        <w:spacing w:after="0" w:line="240" w:lineRule="auto"/>
        <w:rPr>
          <w:rFonts w:ascii="Calibri" w:hAnsi="Calibri" w:cs="Calibri"/>
          <w:color w:val="262626" w:themeColor="text1" w:themeTint="D9"/>
          <w:sz w:val="24"/>
          <w:szCs w:val="24"/>
        </w:rPr>
      </w:pPr>
    </w:p>
    <w:p w14:paraId="6E11C089" w14:textId="7DBDC5FC" w:rsidR="00D902DB" w:rsidRDefault="00D902DB" w:rsidP="00E41AAE">
      <w:pPr>
        <w:autoSpaceDE w:val="0"/>
        <w:autoSpaceDN w:val="0"/>
        <w:adjustRightInd w:val="0"/>
        <w:spacing w:after="0" w:line="240" w:lineRule="auto"/>
        <w:rPr>
          <w:rFonts w:ascii="Calibri" w:hAnsi="Calibri" w:cs="Calibri"/>
          <w:color w:val="262626" w:themeColor="text1" w:themeTint="D9"/>
          <w:sz w:val="24"/>
          <w:szCs w:val="24"/>
        </w:rPr>
      </w:pPr>
      <w:r w:rsidRPr="00D902DB">
        <w:rPr>
          <w:rFonts w:ascii="Calibri" w:hAnsi="Calibri" w:cs="Calibri"/>
          <w:color w:val="262626" w:themeColor="text1" w:themeTint="D9"/>
          <w:sz w:val="24"/>
          <w:szCs w:val="24"/>
        </w:rPr>
        <w:t>Pravne osebe zasebnega prava vodijo poslovne knjige in sestavljajo letna poročila v skladu z Zakonom o računovodstvu in SRS, zlasti SRS 3</w:t>
      </w:r>
      <w:r>
        <w:rPr>
          <w:rFonts w:ascii="Calibri" w:hAnsi="Calibri" w:cs="Calibri"/>
          <w:color w:val="262626" w:themeColor="text1" w:themeTint="D9"/>
          <w:sz w:val="24"/>
          <w:szCs w:val="24"/>
        </w:rPr>
        <w:t>4</w:t>
      </w:r>
      <w:r w:rsidRPr="00D902DB">
        <w:rPr>
          <w:rFonts w:ascii="Calibri" w:hAnsi="Calibri" w:cs="Calibri"/>
          <w:color w:val="262626" w:themeColor="text1" w:themeTint="D9"/>
          <w:sz w:val="24"/>
          <w:szCs w:val="24"/>
        </w:rPr>
        <w:t>. Posebnost SRS 3</w:t>
      </w:r>
      <w:r>
        <w:rPr>
          <w:rFonts w:ascii="Calibri" w:hAnsi="Calibri" w:cs="Calibri"/>
          <w:color w:val="262626" w:themeColor="text1" w:themeTint="D9"/>
          <w:sz w:val="24"/>
          <w:szCs w:val="24"/>
        </w:rPr>
        <w:t>4</w:t>
      </w:r>
      <w:r w:rsidRPr="00D902DB">
        <w:rPr>
          <w:rFonts w:ascii="Calibri" w:hAnsi="Calibri" w:cs="Calibri"/>
          <w:color w:val="262626" w:themeColor="text1" w:themeTint="D9"/>
          <w:sz w:val="24"/>
          <w:szCs w:val="24"/>
        </w:rPr>
        <w:t xml:space="preserve"> je, da vsebuje predvsem določbe, ki se nanašajo na zagotavljanje nekaterih podatkov o stroških, odhodkih in prihodkih, kadar gre za opravljanje javne službe. Sicer pa pravne osebe zasebnega prava glede vrednotenja, merjenja in izkazovanja bilančnih postavk (sredstev, obveznosti do virov sredstev, stroškov, odhodkov in prihodkov) uporabljajo</w:t>
      </w:r>
      <w:r>
        <w:rPr>
          <w:rFonts w:ascii="Calibri" w:hAnsi="Calibri" w:cs="Calibri"/>
          <w:color w:val="262626" w:themeColor="text1" w:themeTint="D9"/>
          <w:sz w:val="24"/>
          <w:szCs w:val="24"/>
        </w:rPr>
        <w:t xml:space="preserve"> </w:t>
      </w:r>
      <w:r w:rsidRPr="00D902DB">
        <w:rPr>
          <w:rFonts w:ascii="Calibri" w:hAnsi="Calibri" w:cs="Calibri"/>
          <w:color w:val="262626" w:themeColor="text1" w:themeTint="D9"/>
          <w:sz w:val="24"/>
          <w:szCs w:val="24"/>
        </w:rPr>
        <w:t>pravila, ki jih določajo splošni računovodski standardi.</w:t>
      </w:r>
    </w:p>
    <w:p w14:paraId="67467B81" w14:textId="77777777" w:rsidR="00D902DB" w:rsidRPr="00D902DB" w:rsidRDefault="00D902DB" w:rsidP="00D902DB">
      <w:pPr>
        <w:autoSpaceDE w:val="0"/>
        <w:autoSpaceDN w:val="0"/>
        <w:adjustRightInd w:val="0"/>
        <w:spacing w:after="0" w:line="240" w:lineRule="auto"/>
        <w:rPr>
          <w:rFonts w:ascii="Calibri" w:hAnsi="Calibri" w:cs="Calibri"/>
          <w:color w:val="262626" w:themeColor="text1" w:themeTint="D9"/>
          <w:sz w:val="24"/>
          <w:szCs w:val="24"/>
        </w:rPr>
      </w:pPr>
      <w:r w:rsidRPr="00D902DB">
        <w:rPr>
          <w:rFonts w:ascii="Calibri" w:hAnsi="Calibri" w:cs="Calibri"/>
          <w:color w:val="262626" w:themeColor="text1" w:themeTint="D9"/>
          <w:sz w:val="24"/>
          <w:szCs w:val="24"/>
        </w:rPr>
        <w:t>Pravne osebe zasebnega prava (POZP) so organizacije, ki so bile ustanovljene na podlagi različnih zakonov:</w:t>
      </w:r>
    </w:p>
    <w:p w14:paraId="15FCE233" w14:textId="77777777" w:rsidR="00D902DB" w:rsidRPr="00D902DB" w:rsidRDefault="00D902DB" w:rsidP="00D902DB">
      <w:pPr>
        <w:autoSpaceDE w:val="0"/>
        <w:autoSpaceDN w:val="0"/>
        <w:adjustRightInd w:val="0"/>
        <w:spacing w:after="0" w:line="240" w:lineRule="auto"/>
        <w:rPr>
          <w:rFonts w:ascii="Calibri" w:hAnsi="Calibri" w:cs="Calibri"/>
          <w:color w:val="262626" w:themeColor="text1" w:themeTint="D9"/>
          <w:sz w:val="24"/>
          <w:szCs w:val="24"/>
        </w:rPr>
      </w:pPr>
    </w:p>
    <w:p w14:paraId="217E8C4E" w14:textId="53DFDF0F" w:rsidR="00D902DB" w:rsidRDefault="00D902DB" w:rsidP="00D902DB">
      <w:p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  </w:t>
      </w:r>
      <w:r w:rsidRPr="00D902DB">
        <w:rPr>
          <w:rFonts w:ascii="Calibri" w:hAnsi="Calibri" w:cs="Calibri"/>
          <w:color w:val="262626" w:themeColor="text1" w:themeTint="D9"/>
          <w:sz w:val="24"/>
          <w:szCs w:val="24"/>
        </w:rPr>
        <w:t>zasebni zavodi so ustanovljeni po zakonu o zavodih;</w:t>
      </w:r>
    </w:p>
    <w:p w14:paraId="0ED954A5" w14:textId="20DA1D28" w:rsidR="00D902DB" w:rsidRPr="00D902DB" w:rsidRDefault="00D902DB" w:rsidP="00D902DB">
      <w:p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 </w:t>
      </w:r>
      <w:r w:rsidRPr="00D902DB">
        <w:rPr>
          <w:rFonts w:ascii="Calibri" w:hAnsi="Calibri" w:cs="Calibri"/>
          <w:color w:val="262626" w:themeColor="text1" w:themeTint="D9"/>
          <w:sz w:val="24"/>
          <w:szCs w:val="24"/>
        </w:rPr>
        <w:t>ustanove oziroma fundacije so ustanovljene po zakonu o ustanovah;</w:t>
      </w:r>
    </w:p>
    <w:p w14:paraId="4290FC48" w14:textId="31A1F736" w:rsidR="00D902DB" w:rsidRPr="00D902DB" w:rsidRDefault="00D902DB" w:rsidP="00D902DB">
      <w:p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 </w:t>
      </w:r>
      <w:r w:rsidRPr="00D902DB">
        <w:rPr>
          <w:rFonts w:ascii="Calibri" w:hAnsi="Calibri" w:cs="Calibri"/>
          <w:color w:val="262626" w:themeColor="text1" w:themeTint="D9"/>
          <w:sz w:val="24"/>
          <w:szCs w:val="24"/>
        </w:rPr>
        <w:t>politične stranke so ustanovljene po zakonu o političnih strankah;</w:t>
      </w:r>
    </w:p>
    <w:p w14:paraId="4F2B34CA" w14:textId="5CC2F9A0" w:rsidR="00D902DB" w:rsidRPr="00D902DB" w:rsidRDefault="00D902DB" w:rsidP="00D902DB">
      <w:p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 </w:t>
      </w:r>
      <w:r w:rsidRPr="00D902DB">
        <w:rPr>
          <w:rFonts w:ascii="Calibri" w:hAnsi="Calibri" w:cs="Calibri"/>
          <w:color w:val="262626" w:themeColor="text1" w:themeTint="D9"/>
          <w:sz w:val="24"/>
          <w:szCs w:val="24"/>
        </w:rPr>
        <w:t>sindikati so pridobili pravno osebnost in reprezentativnost po zakonu o reprezentativnosti</w:t>
      </w:r>
      <w:r>
        <w:rPr>
          <w:rFonts w:ascii="Calibri" w:hAnsi="Calibri" w:cs="Calibri"/>
          <w:color w:val="262626" w:themeColor="text1" w:themeTint="D9"/>
          <w:sz w:val="24"/>
          <w:szCs w:val="24"/>
        </w:rPr>
        <w:t xml:space="preserve"> </w:t>
      </w:r>
      <w:r w:rsidRPr="00D902DB">
        <w:rPr>
          <w:rFonts w:ascii="Calibri" w:hAnsi="Calibri" w:cs="Calibri"/>
          <w:color w:val="262626" w:themeColor="text1" w:themeTint="D9"/>
          <w:sz w:val="24"/>
          <w:szCs w:val="24"/>
        </w:rPr>
        <w:t>sindikatov;</w:t>
      </w:r>
      <w:r>
        <w:rPr>
          <w:rFonts w:ascii="Calibri" w:hAnsi="Calibri" w:cs="Calibri"/>
          <w:color w:val="262626" w:themeColor="text1" w:themeTint="D9"/>
          <w:sz w:val="24"/>
          <w:szCs w:val="24"/>
        </w:rPr>
        <w:t xml:space="preserve"> </w:t>
      </w:r>
    </w:p>
    <w:p w14:paraId="48537D69" w14:textId="2B700BCF" w:rsidR="00D902DB" w:rsidRDefault="00D902DB" w:rsidP="00D902DB">
      <w:p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 </w:t>
      </w:r>
      <w:r w:rsidRPr="00D902DB">
        <w:rPr>
          <w:rFonts w:ascii="Calibri" w:hAnsi="Calibri" w:cs="Calibri"/>
          <w:color w:val="262626" w:themeColor="text1" w:themeTint="D9"/>
          <w:sz w:val="24"/>
          <w:szCs w:val="24"/>
        </w:rPr>
        <w:t>sem pa sodijo tudi druge POZP, ki so ustanovljene kot nepridobitne organizacije in niso ustanovljene po</w:t>
      </w:r>
      <w:r>
        <w:rPr>
          <w:rFonts w:ascii="Calibri" w:hAnsi="Calibri" w:cs="Calibri"/>
          <w:color w:val="262626" w:themeColor="text1" w:themeTint="D9"/>
          <w:sz w:val="24"/>
          <w:szCs w:val="24"/>
        </w:rPr>
        <w:t xml:space="preserve"> Zakonu o društvih </w:t>
      </w:r>
    </w:p>
    <w:p w14:paraId="0481C05F" w14:textId="00BDAA86" w:rsidR="00D902DB" w:rsidRDefault="00D902DB" w:rsidP="00D902DB">
      <w:pPr>
        <w:autoSpaceDE w:val="0"/>
        <w:autoSpaceDN w:val="0"/>
        <w:adjustRightInd w:val="0"/>
        <w:spacing w:after="0" w:line="240" w:lineRule="auto"/>
        <w:rPr>
          <w:rFonts w:ascii="Calibri" w:hAnsi="Calibri" w:cs="Calibri"/>
          <w:color w:val="262626" w:themeColor="text1" w:themeTint="D9"/>
          <w:sz w:val="24"/>
          <w:szCs w:val="24"/>
        </w:rPr>
      </w:pPr>
    </w:p>
    <w:p w14:paraId="07437807" w14:textId="6381CEEE" w:rsidR="00D902DB" w:rsidRDefault="00D902DB" w:rsidP="00D902DB">
      <w:pPr>
        <w:autoSpaceDE w:val="0"/>
        <w:autoSpaceDN w:val="0"/>
        <w:adjustRightInd w:val="0"/>
        <w:spacing w:after="0" w:line="240" w:lineRule="auto"/>
        <w:rPr>
          <w:rFonts w:ascii="Calibri" w:hAnsi="Calibri" w:cs="Calibri"/>
          <w:color w:val="262626" w:themeColor="text1" w:themeTint="D9"/>
          <w:sz w:val="24"/>
          <w:szCs w:val="24"/>
        </w:rPr>
      </w:pPr>
      <w:r w:rsidRPr="00D902DB">
        <w:rPr>
          <w:rFonts w:ascii="Calibri" w:hAnsi="Calibri" w:cs="Calibri"/>
          <w:color w:val="262626" w:themeColor="text1" w:themeTint="D9"/>
          <w:sz w:val="24"/>
          <w:szCs w:val="24"/>
        </w:rPr>
        <w:t>Zakon o računovodstvu (ZR) ureja vodenje poslovnih knjig in sestavljanje letnih poročil tudi za POZP (1. člen). Letno poročilo je sestavljeno iz:</w:t>
      </w:r>
    </w:p>
    <w:p w14:paraId="579D57D8" w14:textId="77777777" w:rsidR="00D902DB" w:rsidRPr="00D902DB" w:rsidRDefault="00D902DB" w:rsidP="00D902DB">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D902DB">
        <w:rPr>
          <w:rFonts w:ascii="Calibri" w:hAnsi="Calibri" w:cs="Calibri"/>
          <w:color w:val="262626" w:themeColor="text1" w:themeTint="D9"/>
          <w:sz w:val="24"/>
          <w:szCs w:val="24"/>
        </w:rPr>
        <w:t>bilance stanja,</w:t>
      </w:r>
    </w:p>
    <w:p w14:paraId="4A3FEBA9" w14:textId="77777777" w:rsidR="00D902DB" w:rsidRPr="00D902DB" w:rsidRDefault="00D902DB" w:rsidP="00D902DB">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D902DB">
        <w:rPr>
          <w:rFonts w:ascii="Calibri" w:hAnsi="Calibri" w:cs="Calibri"/>
          <w:color w:val="262626" w:themeColor="text1" w:themeTint="D9"/>
          <w:sz w:val="24"/>
          <w:szCs w:val="24"/>
        </w:rPr>
        <w:t>izkaza prihodkov in odhodkov,</w:t>
      </w:r>
    </w:p>
    <w:p w14:paraId="11408558" w14:textId="77777777" w:rsidR="00D902DB" w:rsidRPr="00D902DB" w:rsidRDefault="00D902DB" w:rsidP="00D902DB">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D902DB">
        <w:rPr>
          <w:rFonts w:ascii="Calibri" w:hAnsi="Calibri" w:cs="Calibri"/>
          <w:color w:val="262626" w:themeColor="text1" w:themeTint="D9"/>
          <w:sz w:val="24"/>
          <w:szCs w:val="24"/>
        </w:rPr>
        <w:t>pojasnil k izkazoma ter</w:t>
      </w:r>
    </w:p>
    <w:p w14:paraId="05EC6A30" w14:textId="3480E60B" w:rsidR="00D902DB" w:rsidRDefault="00D902DB" w:rsidP="00D902DB">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sidRPr="00D902DB">
        <w:rPr>
          <w:rFonts w:ascii="Calibri" w:hAnsi="Calibri" w:cs="Calibri"/>
          <w:color w:val="262626" w:themeColor="text1" w:themeTint="D9"/>
          <w:sz w:val="24"/>
          <w:szCs w:val="24"/>
        </w:rPr>
        <w:t>poslovnega poročila.</w:t>
      </w:r>
    </w:p>
    <w:p w14:paraId="50060631" w14:textId="1591B264" w:rsidR="00D902DB" w:rsidRDefault="00D902DB" w:rsidP="00D902DB">
      <w:pPr>
        <w:autoSpaceDE w:val="0"/>
        <w:autoSpaceDN w:val="0"/>
        <w:adjustRightInd w:val="0"/>
        <w:spacing w:after="0" w:line="240" w:lineRule="auto"/>
        <w:rPr>
          <w:rFonts w:ascii="Calibri" w:hAnsi="Calibri" w:cs="Calibri"/>
          <w:color w:val="262626" w:themeColor="text1" w:themeTint="D9"/>
          <w:sz w:val="24"/>
          <w:szCs w:val="24"/>
        </w:rPr>
      </w:pPr>
    </w:p>
    <w:p w14:paraId="3769BBAD" w14:textId="05365E27" w:rsidR="008C3001" w:rsidRPr="008C3001" w:rsidRDefault="008C3001" w:rsidP="00D902DB">
      <w:pPr>
        <w:autoSpaceDE w:val="0"/>
        <w:autoSpaceDN w:val="0"/>
        <w:adjustRightInd w:val="0"/>
        <w:spacing w:after="0" w:line="240" w:lineRule="auto"/>
        <w:rPr>
          <w:rFonts w:ascii="Calibri" w:hAnsi="Calibri" w:cs="Calibri"/>
          <w:b/>
          <w:bCs/>
          <w:color w:val="262626" w:themeColor="text1" w:themeTint="D9"/>
          <w:sz w:val="24"/>
          <w:szCs w:val="24"/>
          <w:u w:val="single"/>
        </w:rPr>
      </w:pPr>
      <w:r w:rsidRPr="008C3001">
        <w:rPr>
          <w:rFonts w:ascii="Calibri" w:hAnsi="Calibri" w:cs="Calibri"/>
          <w:b/>
          <w:bCs/>
          <w:color w:val="262626" w:themeColor="text1" w:themeTint="D9"/>
          <w:sz w:val="24"/>
          <w:szCs w:val="24"/>
          <w:u w:val="single"/>
        </w:rPr>
        <w:t xml:space="preserve">Vsebina letnega poročila za POZP </w:t>
      </w:r>
    </w:p>
    <w:p w14:paraId="5C6EA8B3" w14:textId="77777777" w:rsidR="008C3001" w:rsidRDefault="008C3001" w:rsidP="00D902DB">
      <w:pPr>
        <w:autoSpaceDE w:val="0"/>
        <w:autoSpaceDN w:val="0"/>
        <w:adjustRightInd w:val="0"/>
        <w:spacing w:after="0" w:line="240" w:lineRule="auto"/>
        <w:rPr>
          <w:rFonts w:ascii="Calibri" w:hAnsi="Calibri" w:cs="Calibri"/>
          <w:color w:val="262626" w:themeColor="text1" w:themeTint="D9"/>
          <w:sz w:val="24"/>
          <w:szCs w:val="24"/>
        </w:rPr>
      </w:pPr>
    </w:p>
    <w:p w14:paraId="117573CF" w14:textId="76CE1E55" w:rsidR="00D902DB" w:rsidRDefault="00D902DB" w:rsidP="00D902DB">
      <w:pPr>
        <w:autoSpaceDE w:val="0"/>
        <w:autoSpaceDN w:val="0"/>
        <w:adjustRightInd w:val="0"/>
        <w:spacing w:after="0" w:line="240" w:lineRule="auto"/>
        <w:rPr>
          <w:rFonts w:ascii="Calibri" w:hAnsi="Calibri" w:cs="Calibri"/>
          <w:color w:val="262626" w:themeColor="text1" w:themeTint="D9"/>
          <w:sz w:val="24"/>
          <w:szCs w:val="24"/>
        </w:rPr>
      </w:pPr>
      <w:r w:rsidRPr="00D902DB">
        <w:rPr>
          <w:rFonts w:ascii="Calibri" w:hAnsi="Calibri" w:cs="Calibri"/>
          <w:color w:val="262626" w:themeColor="text1" w:themeTint="D9"/>
          <w:sz w:val="24"/>
          <w:szCs w:val="24"/>
        </w:rPr>
        <w:t>Bilanca stanja vsebuje podatke o stanju sredstev in obveznosti do njihovih virov. Izkaz prihodkov in odhodkov vsebuje podatke o prihodkih in odhodkih, ki jih je POZP dosegla v obračunskem obdobju. Po ZR in tudi SRS 3</w:t>
      </w:r>
      <w:r>
        <w:rPr>
          <w:rFonts w:ascii="Calibri" w:hAnsi="Calibri" w:cs="Calibri"/>
          <w:color w:val="262626" w:themeColor="text1" w:themeTint="D9"/>
          <w:sz w:val="24"/>
          <w:szCs w:val="24"/>
        </w:rPr>
        <w:t>4</w:t>
      </w:r>
      <w:r w:rsidRPr="00D902DB">
        <w:rPr>
          <w:rFonts w:ascii="Calibri" w:hAnsi="Calibri" w:cs="Calibri"/>
          <w:color w:val="262626" w:themeColor="text1" w:themeTint="D9"/>
          <w:sz w:val="24"/>
          <w:szCs w:val="24"/>
        </w:rPr>
        <w:t xml:space="preserve"> računovodski izkazi vsebujejo podatke obravnavanega in preteklega obračunskega obdobja. Računovodska pojasnila dopolnjujejo podatke in informacije, ki jih zagotavljata bilanca stanja in izkaz prihodkov in odhodkov.</w:t>
      </w:r>
    </w:p>
    <w:p w14:paraId="3EF3989C" w14:textId="2424E66B" w:rsidR="00D902DB" w:rsidRDefault="00D902DB" w:rsidP="00D902DB">
      <w:pPr>
        <w:autoSpaceDE w:val="0"/>
        <w:autoSpaceDN w:val="0"/>
        <w:adjustRightInd w:val="0"/>
        <w:spacing w:after="0" w:line="240" w:lineRule="auto"/>
        <w:rPr>
          <w:rFonts w:ascii="Calibri" w:hAnsi="Calibri" w:cs="Calibri"/>
          <w:color w:val="262626" w:themeColor="text1" w:themeTint="D9"/>
          <w:sz w:val="24"/>
          <w:szCs w:val="24"/>
        </w:rPr>
      </w:pPr>
      <w:r w:rsidRPr="00D902DB">
        <w:rPr>
          <w:rFonts w:ascii="Calibri" w:hAnsi="Calibri" w:cs="Calibri"/>
          <w:color w:val="262626" w:themeColor="text1" w:themeTint="D9"/>
          <w:sz w:val="24"/>
          <w:szCs w:val="24"/>
        </w:rPr>
        <w:t>Po 9. členu ZR morajo poslovne knjige in poročila zagotavljati spremljanje poslovanja ter prikaz izida poslovanja z javnofinančnimi sredstvi in drugih sredstev za opravljanje javne službe ločeno od spremljanja poslovanja s sredstvi, pridobljenimi iz prodaje blaga in storitev na trgu; omogočati morajo ocenjevanje namembnosti, gospodarnosti in učinkovitosti porabe javnofinančnih sredstev.</w:t>
      </w:r>
      <w:r>
        <w:rPr>
          <w:rFonts w:ascii="Calibri" w:hAnsi="Calibri" w:cs="Calibri"/>
          <w:color w:val="262626" w:themeColor="text1" w:themeTint="D9"/>
          <w:sz w:val="24"/>
          <w:szCs w:val="24"/>
        </w:rPr>
        <w:t xml:space="preserve"> </w:t>
      </w:r>
      <w:r w:rsidRPr="00D902DB">
        <w:rPr>
          <w:rFonts w:ascii="Calibri" w:hAnsi="Calibri" w:cs="Calibri"/>
          <w:color w:val="262626" w:themeColor="text1" w:themeTint="D9"/>
          <w:sz w:val="24"/>
          <w:szCs w:val="24"/>
        </w:rPr>
        <w:t>POZP izkazujejo odhodke glede na vrsto dejavnosti, na katero se nanašajo. Razčlenjujejo jih na odhodke, ki se nanašajo na opravljanje javne službe, in odhodke, ki se nanašajo na ustvarjanje prihodkov na trgu. Prihodke izkazujejo po vrstah in namenih iz naslovov opravljanja javne službe, prodaje blaga in storitev na trgu ter drugih virov.</w:t>
      </w:r>
    </w:p>
    <w:p w14:paraId="36A8604D" w14:textId="02FF90B0" w:rsidR="00D902DB" w:rsidRDefault="00D902DB" w:rsidP="00D902DB">
      <w:pPr>
        <w:autoSpaceDE w:val="0"/>
        <w:autoSpaceDN w:val="0"/>
        <w:adjustRightInd w:val="0"/>
        <w:spacing w:after="0" w:line="240" w:lineRule="auto"/>
        <w:rPr>
          <w:rFonts w:ascii="Calibri" w:hAnsi="Calibri" w:cs="Calibri"/>
          <w:color w:val="262626" w:themeColor="text1" w:themeTint="D9"/>
          <w:sz w:val="24"/>
          <w:szCs w:val="24"/>
        </w:rPr>
      </w:pPr>
      <w:r w:rsidRPr="00D902DB">
        <w:rPr>
          <w:rFonts w:ascii="Calibri" w:hAnsi="Calibri" w:cs="Calibri"/>
          <w:color w:val="262626" w:themeColor="text1" w:themeTint="D9"/>
          <w:sz w:val="24"/>
          <w:szCs w:val="24"/>
        </w:rPr>
        <w:t>Poleg računovodskih izkazov sestavljajo letno poročilo še računovodska pojasnila in poslovno poročilo. Računovodska pojasnila obravnavajo posamezne računovodske postavke iz računovodskih izkazov, poslovne dosežke pa obravnava poslovno poročilo.</w:t>
      </w:r>
    </w:p>
    <w:p w14:paraId="36EA6C27" w14:textId="77777777" w:rsidR="008C3001" w:rsidRDefault="008C3001" w:rsidP="00D902DB">
      <w:pPr>
        <w:autoSpaceDE w:val="0"/>
        <w:autoSpaceDN w:val="0"/>
        <w:adjustRightInd w:val="0"/>
        <w:spacing w:after="0" w:line="240" w:lineRule="auto"/>
        <w:rPr>
          <w:rFonts w:ascii="Calibri" w:hAnsi="Calibri" w:cs="Calibri"/>
          <w:b/>
          <w:bCs/>
          <w:color w:val="262626" w:themeColor="text1" w:themeTint="D9"/>
          <w:sz w:val="24"/>
          <w:szCs w:val="24"/>
          <w:u w:val="single"/>
        </w:rPr>
      </w:pPr>
    </w:p>
    <w:p w14:paraId="14F026BF" w14:textId="77777777" w:rsidR="008C3001" w:rsidRDefault="008C3001" w:rsidP="008C3001">
      <w:pPr>
        <w:autoSpaceDE w:val="0"/>
        <w:autoSpaceDN w:val="0"/>
        <w:adjustRightInd w:val="0"/>
        <w:spacing w:after="0" w:line="240" w:lineRule="auto"/>
        <w:rPr>
          <w:rFonts w:ascii="Calibri" w:hAnsi="Calibri" w:cs="Calibri"/>
          <w:color w:val="262626" w:themeColor="text1" w:themeTint="D9"/>
          <w:sz w:val="24"/>
          <w:szCs w:val="24"/>
        </w:rPr>
      </w:pPr>
      <w:r w:rsidRPr="00A62938">
        <w:rPr>
          <w:rFonts w:ascii="Calibri" w:hAnsi="Calibri" w:cs="Calibri"/>
          <w:color w:val="262626" w:themeColor="text1" w:themeTint="D9"/>
          <w:sz w:val="24"/>
          <w:szCs w:val="24"/>
        </w:rPr>
        <w:t>Pravne osebe zasebnega prava (POZP) morajo letno poročilo sestaviti in predložiti pristojnim organom najpozneje v dveh mesecih po preteku poslovnega leta (za letno poročilo za leto 201</w:t>
      </w:r>
      <w:r>
        <w:rPr>
          <w:rFonts w:ascii="Calibri" w:hAnsi="Calibri" w:cs="Calibri"/>
          <w:color w:val="262626" w:themeColor="text1" w:themeTint="D9"/>
          <w:sz w:val="24"/>
          <w:szCs w:val="24"/>
        </w:rPr>
        <w:t>9</w:t>
      </w:r>
      <w:r w:rsidRPr="00A62938">
        <w:rPr>
          <w:rFonts w:ascii="Calibri" w:hAnsi="Calibri" w:cs="Calibri"/>
          <w:color w:val="262626" w:themeColor="text1" w:themeTint="D9"/>
          <w:sz w:val="24"/>
          <w:szCs w:val="24"/>
        </w:rPr>
        <w:t xml:space="preserve"> ta rok poteče 2</w:t>
      </w:r>
      <w:r>
        <w:rPr>
          <w:rFonts w:ascii="Calibri" w:hAnsi="Calibri" w:cs="Calibri"/>
          <w:color w:val="262626" w:themeColor="text1" w:themeTint="D9"/>
          <w:sz w:val="24"/>
          <w:szCs w:val="24"/>
        </w:rPr>
        <w:t>9</w:t>
      </w:r>
      <w:r w:rsidRPr="00A62938">
        <w:rPr>
          <w:rFonts w:ascii="Calibri" w:hAnsi="Calibri" w:cs="Calibri"/>
          <w:color w:val="262626" w:themeColor="text1" w:themeTint="D9"/>
          <w:sz w:val="24"/>
          <w:szCs w:val="24"/>
        </w:rPr>
        <w:t>. februarja 20</w:t>
      </w:r>
      <w:r>
        <w:rPr>
          <w:rFonts w:ascii="Calibri" w:hAnsi="Calibri" w:cs="Calibri"/>
          <w:color w:val="262626" w:themeColor="text1" w:themeTint="D9"/>
          <w:sz w:val="24"/>
          <w:szCs w:val="24"/>
        </w:rPr>
        <w:t>20</w:t>
      </w:r>
      <w:r w:rsidRPr="00A62938">
        <w:rPr>
          <w:rFonts w:ascii="Calibri" w:hAnsi="Calibri" w:cs="Calibri"/>
          <w:color w:val="262626" w:themeColor="text1" w:themeTint="D9"/>
          <w:sz w:val="24"/>
          <w:szCs w:val="24"/>
        </w:rPr>
        <w:t>).</w:t>
      </w:r>
      <w:r>
        <w:rPr>
          <w:rFonts w:ascii="Calibri" w:hAnsi="Calibri" w:cs="Calibri"/>
          <w:color w:val="262626" w:themeColor="text1" w:themeTint="D9"/>
          <w:sz w:val="24"/>
          <w:szCs w:val="24"/>
        </w:rPr>
        <w:t xml:space="preserve"> </w:t>
      </w:r>
      <w:r w:rsidRPr="00A62938">
        <w:rPr>
          <w:rFonts w:ascii="Calibri" w:hAnsi="Calibri" w:cs="Calibri"/>
          <w:color w:val="262626" w:themeColor="text1" w:themeTint="D9"/>
          <w:sz w:val="24"/>
          <w:szCs w:val="24"/>
        </w:rPr>
        <w:t>Letno poročilo potrdi pristojni organ POZP oziroma ustanovitelja, če tako določa zakon ali akt o ustanovitvi. Oseba, pristojna za sprejetje letnega poročila, je praviloma določena z aktom o ustanovitvi, statutom ali drugim aktom, v nekaterih primerih pa tudi z zakonom. Po 27. členu Zakona o računovodstvu (ZR) računovodske izkaze, pojasnila in poslovno poročilo podpiše za to pooblaščena oseba POZP.</w:t>
      </w:r>
    </w:p>
    <w:p w14:paraId="5C0B30D2" w14:textId="77777777" w:rsidR="008C3001" w:rsidRDefault="008C3001" w:rsidP="008C3001">
      <w:pPr>
        <w:autoSpaceDE w:val="0"/>
        <w:autoSpaceDN w:val="0"/>
        <w:adjustRightInd w:val="0"/>
        <w:spacing w:after="0" w:line="240" w:lineRule="auto"/>
        <w:rPr>
          <w:rFonts w:ascii="Calibri" w:hAnsi="Calibri" w:cs="Calibri"/>
          <w:color w:val="262626" w:themeColor="text1" w:themeTint="D9"/>
          <w:sz w:val="24"/>
          <w:szCs w:val="24"/>
        </w:rPr>
      </w:pPr>
      <w:r w:rsidRPr="00A62938">
        <w:rPr>
          <w:rFonts w:ascii="Calibri" w:hAnsi="Calibri" w:cs="Calibri"/>
          <w:color w:val="262626" w:themeColor="text1" w:themeTint="D9"/>
          <w:sz w:val="24"/>
          <w:szCs w:val="24"/>
        </w:rPr>
        <w:t>POZP same določijo rok, v katerem mora pristojni organ potrditi letno poročilo. Ta rok je lahko tudi daljši od tistega, ki je predpisan za predložitev Ajpesu. Podatki, ki jih vsebuje letno poročilo, so namreč podatki o poslovnih dogodkih v poročevalskem obdobju in za njihovo pravilnost odgovarjajo pooblaščene osebe, ne organ, ki potrjuje letno poročilo. Kazen je predvidena le, če POZP Ajpesu letnega poročila ne predložijo v predpisanem roku (55. člen ZR).</w:t>
      </w:r>
    </w:p>
    <w:p w14:paraId="345CD469" w14:textId="77777777" w:rsidR="008C3001" w:rsidRDefault="008C3001" w:rsidP="008C3001">
      <w:pPr>
        <w:autoSpaceDE w:val="0"/>
        <w:autoSpaceDN w:val="0"/>
        <w:adjustRightInd w:val="0"/>
        <w:spacing w:after="0" w:line="240" w:lineRule="auto"/>
        <w:rPr>
          <w:rFonts w:ascii="Calibri" w:hAnsi="Calibri" w:cs="Calibri"/>
          <w:color w:val="262626" w:themeColor="text1" w:themeTint="D9"/>
          <w:sz w:val="24"/>
          <w:szCs w:val="24"/>
        </w:rPr>
      </w:pPr>
      <w:r w:rsidRPr="00A62938">
        <w:rPr>
          <w:rFonts w:ascii="Calibri" w:hAnsi="Calibri" w:cs="Calibri"/>
          <w:color w:val="262626" w:themeColor="text1" w:themeTint="D9"/>
          <w:sz w:val="24"/>
          <w:szCs w:val="24"/>
        </w:rPr>
        <w:t>Obrazca za statistične podatke iz bilance stanja in za statistične podatke iz izkaza prihodkov in odhodkov sta objavljena kot priloga k Navodilu za predložitev letnih poročil nepridobitnih organizacij – pravnih oseb zasebnega prava. V njem je predpisana tudi oblika izjave o tem, ali so statistični podatki enaki podatkom iz letnega poročila. POZP s podpisom in predložitvijo take izjave izpolnijo zakonske zahteve iz 51. člena ZR.</w:t>
      </w:r>
    </w:p>
    <w:p w14:paraId="684D9E1A" w14:textId="77777777" w:rsidR="008C3001" w:rsidRDefault="008C3001" w:rsidP="008C3001">
      <w:pPr>
        <w:autoSpaceDE w:val="0"/>
        <w:autoSpaceDN w:val="0"/>
        <w:adjustRightInd w:val="0"/>
        <w:spacing w:after="0" w:line="240" w:lineRule="auto"/>
        <w:rPr>
          <w:rFonts w:ascii="Calibri" w:hAnsi="Calibri" w:cs="Calibri"/>
          <w:color w:val="262626" w:themeColor="text1" w:themeTint="D9"/>
          <w:sz w:val="24"/>
          <w:szCs w:val="24"/>
        </w:rPr>
      </w:pPr>
      <w:r w:rsidRPr="00A62938">
        <w:rPr>
          <w:rFonts w:ascii="Calibri" w:hAnsi="Calibri" w:cs="Calibri"/>
          <w:color w:val="262626" w:themeColor="text1" w:themeTint="D9"/>
          <w:sz w:val="24"/>
          <w:szCs w:val="24"/>
        </w:rPr>
        <w:t>S predložitvijo podatkov Ajpesu POZP izpolnijo obveznosti tako glede zagotovitve javnosti podatkov kot tudi glede potreb državne statistike. Za državno statistiko predložijo podatke iz bilance stanja in iz izkaza prihodkov in odhodkov na obrazcih iz prilog 2 in 3, ki sta sestavni del omenjenega navodila, za zagotovitev javnosti podatkov pa letno poročilo, sestavljeno iz bilance stanja, izkaza prihodkov in odhodkov, pojasnil k izkazoma ter poslovnega poročila.</w:t>
      </w:r>
    </w:p>
    <w:p w14:paraId="04B7431C" w14:textId="77777777" w:rsidR="008C3001" w:rsidRDefault="008C3001" w:rsidP="008C3001">
      <w:pPr>
        <w:autoSpaceDE w:val="0"/>
        <w:autoSpaceDN w:val="0"/>
        <w:adjustRightInd w:val="0"/>
        <w:spacing w:after="0" w:line="240" w:lineRule="auto"/>
        <w:rPr>
          <w:rFonts w:ascii="Calibri" w:hAnsi="Calibri" w:cs="Calibri"/>
          <w:color w:val="262626" w:themeColor="text1" w:themeTint="D9"/>
          <w:sz w:val="24"/>
          <w:szCs w:val="24"/>
        </w:rPr>
      </w:pPr>
      <w:r w:rsidRPr="00A62938">
        <w:rPr>
          <w:rFonts w:ascii="Calibri" w:hAnsi="Calibri" w:cs="Calibri"/>
          <w:color w:val="262626" w:themeColor="text1" w:themeTint="D9"/>
          <w:sz w:val="24"/>
          <w:szCs w:val="24"/>
        </w:rPr>
        <w:t>Podrobnejša navodila v zvezi s predlaganjem letnih poročil POZP so na Ajpesovi spletni strani.</w:t>
      </w:r>
    </w:p>
    <w:p w14:paraId="05963FB9" w14:textId="77777777" w:rsidR="008C3001" w:rsidRDefault="008C3001" w:rsidP="008C3001">
      <w:pPr>
        <w:autoSpaceDE w:val="0"/>
        <w:autoSpaceDN w:val="0"/>
        <w:adjustRightInd w:val="0"/>
        <w:spacing w:after="0" w:line="240" w:lineRule="auto"/>
        <w:rPr>
          <w:rFonts w:ascii="Calibri" w:hAnsi="Calibri" w:cs="Calibri"/>
          <w:color w:val="262626" w:themeColor="text1" w:themeTint="D9"/>
          <w:sz w:val="24"/>
          <w:szCs w:val="24"/>
        </w:rPr>
      </w:pPr>
      <w:r w:rsidRPr="00A62938">
        <w:rPr>
          <w:rFonts w:ascii="Calibri" w:hAnsi="Calibri" w:cs="Calibri"/>
          <w:color w:val="262626" w:themeColor="text1" w:themeTint="D9"/>
          <w:sz w:val="24"/>
          <w:szCs w:val="24"/>
        </w:rPr>
        <w:t>Popis sredstev in obveznosti do njihovih virov morajo POZP opraviti 31. decembra. Poročila in predloge za likvidacijo popisnih razlik pa morajo ustreznim organom oddati do roka, da bo lahko računovodska služba pravočasno obračunala morebitne davčne obveznosti od primanjkljajev.</w:t>
      </w:r>
    </w:p>
    <w:p w14:paraId="701758AC" w14:textId="77777777" w:rsidR="008C3001" w:rsidRDefault="008C3001" w:rsidP="008C3001">
      <w:pPr>
        <w:autoSpaceDE w:val="0"/>
        <w:autoSpaceDN w:val="0"/>
        <w:adjustRightInd w:val="0"/>
        <w:spacing w:after="0" w:line="240" w:lineRule="auto"/>
        <w:rPr>
          <w:rFonts w:ascii="Calibri" w:hAnsi="Calibri" w:cs="Calibri"/>
          <w:color w:val="262626" w:themeColor="text1" w:themeTint="D9"/>
          <w:sz w:val="24"/>
          <w:szCs w:val="24"/>
        </w:rPr>
      </w:pPr>
    </w:p>
    <w:p w14:paraId="4AB1AEBA" w14:textId="77777777" w:rsidR="008C3001" w:rsidRPr="00E41AAE" w:rsidRDefault="008C3001" w:rsidP="008C3001">
      <w:pPr>
        <w:autoSpaceDE w:val="0"/>
        <w:autoSpaceDN w:val="0"/>
        <w:adjustRightInd w:val="0"/>
        <w:spacing w:after="0" w:line="240" w:lineRule="auto"/>
        <w:rPr>
          <w:rFonts w:ascii="Calibri" w:hAnsi="Calibri" w:cs="Calibri"/>
          <w:color w:val="262626" w:themeColor="text1" w:themeTint="D9"/>
          <w:sz w:val="24"/>
          <w:szCs w:val="24"/>
        </w:rPr>
      </w:pPr>
      <w:r w:rsidRPr="00A62938">
        <w:rPr>
          <w:rFonts w:ascii="Calibri" w:hAnsi="Calibri" w:cs="Calibri"/>
          <w:color w:val="262626" w:themeColor="text1" w:themeTint="D9"/>
          <w:sz w:val="24"/>
          <w:szCs w:val="24"/>
        </w:rPr>
        <w:t>Obračun davka od dohodkov pravnih oseb (DDPO) morajo POZP pripraviti že do konca februarja  (zaradi vključitve podatkov v računovodske izkaze), čeprav ga lahko tako kot društva oddajo elektronsko do 31. Marca</w:t>
      </w:r>
      <w:r>
        <w:rPr>
          <w:rFonts w:ascii="Calibri" w:hAnsi="Calibri" w:cs="Calibri"/>
          <w:color w:val="262626" w:themeColor="text1" w:themeTint="D9"/>
          <w:sz w:val="24"/>
          <w:szCs w:val="24"/>
        </w:rPr>
        <w:t xml:space="preserve">. </w:t>
      </w:r>
      <w:r w:rsidRPr="00A62938">
        <w:rPr>
          <w:rFonts w:ascii="Calibri" w:hAnsi="Calibri" w:cs="Calibri"/>
          <w:color w:val="262626" w:themeColor="text1" w:themeTint="D9"/>
          <w:sz w:val="24"/>
          <w:szCs w:val="24"/>
        </w:rPr>
        <w:t xml:space="preserve"> </w:t>
      </w:r>
    </w:p>
    <w:p w14:paraId="7B5F10C6" w14:textId="77777777" w:rsidR="008C3001" w:rsidRDefault="008C3001" w:rsidP="00D902DB">
      <w:pPr>
        <w:autoSpaceDE w:val="0"/>
        <w:autoSpaceDN w:val="0"/>
        <w:adjustRightInd w:val="0"/>
        <w:spacing w:after="0" w:line="240" w:lineRule="auto"/>
        <w:rPr>
          <w:rFonts w:ascii="Calibri" w:hAnsi="Calibri" w:cs="Calibri"/>
          <w:b/>
          <w:bCs/>
          <w:color w:val="262626" w:themeColor="text1" w:themeTint="D9"/>
          <w:sz w:val="24"/>
          <w:szCs w:val="24"/>
          <w:u w:val="single"/>
        </w:rPr>
      </w:pPr>
    </w:p>
    <w:p w14:paraId="4B713764" w14:textId="77777777" w:rsidR="008C3001" w:rsidRDefault="008C3001" w:rsidP="00D902DB">
      <w:pPr>
        <w:autoSpaceDE w:val="0"/>
        <w:autoSpaceDN w:val="0"/>
        <w:adjustRightInd w:val="0"/>
        <w:spacing w:after="0" w:line="240" w:lineRule="auto"/>
        <w:rPr>
          <w:rFonts w:ascii="Calibri" w:hAnsi="Calibri" w:cs="Calibri"/>
          <w:b/>
          <w:bCs/>
          <w:color w:val="262626" w:themeColor="text1" w:themeTint="D9"/>
          <w:sz w:val="24"/>
          <w:szCs w:val="24"/>
          <w:u w:val="single"/>
        </w:rPr>
      </w:pPr>
    </w:p>
    <w:p w14:paraId="6565A6AF" w14:textId="77777777" w:rsidR="008C3001" w:rsidRDefault="008C3001" w:rsidP="00D902DB">
      <w:pPr>
        <w:autoSpaceDE w:val="0"/>
        <w:autoSpaceDN w:val="0"/>
        <w:adjustRightInd w:val="0"/>
        <w:spacing w:after="0" w:line="240" w:lineRule="auto"/>
        <w:rPr>
          <w:rFonts w:ascii="Calibri" w:hAnsi="Calibri" w:cs="Calibri"/>
          <w:b/>
          <w:bCs/>
          <w:color w:val="262626" w:themeColor="text1" w:themeTint="D9"/>
          <w:sz w:val="24"/>
          <w:szCs w:val="24"/>
          <w:u w:val="single"/>
        </w:rPr>
      </w:pPr>
    </w:p>
    <w:p w14:paraId="4946FC9E" w14:textId="77777777" w:rsidR="008C3001" w:rsidRDefault="008C3001" w:rsidP="00D902DB">
      <w:pPr>
        <w:autoSpaceDE w:val="0"/>
        <w:autoSpaceDN w:val="0"/>
        <w:adjustRightInd w:val="0"/>
        <w:spacing w:after="0" w:line="240" w:lineRule="auto"/>
        <w:rPr>
          <w:rFonts w:ascii="Calibri" w:hAnsi="Calibri" w:cs="Calibri"/>
          <w:b/>
          <w:bCs/>
          <w:color w:val="262626" w:themeColor="text1" w:themeTint="D9"/>
          <w:sz w:val="24"/>
          <w:szCs w:val="24"/>
          <w:u w:val="single"/>
        </w:rPr>
      </w:pPr>
    </w:p>
    <w:p w14:paraId="57A5C2E9" w14:textId="77777777" w:rsidR="008C3001" w:rsidRDefault="008C3001" w:rsidP="00D902DB">
      <w:pPr>
        <w:autoSpaceDE w:val="0"/>
        <w:autoSpaceDN w:val="0"/>
        <w:adjustRightInd w:val="0"/>
        <w:spacing w:after="0" w:line="240" w:lineRule="auto"/>
        <w:rPr>
          <w:rFonts w:ascii="Calibri" w:hAnsi="Calibri" w:cs="Calibri"/>
          <w:b/>
          <w:bCs/>
          <w:color w:val="262626" w:themeColor="text1" w:themeTint="D9"/>
          <w:sz w:val="24"/>
          <w:szCs w:val="24"/>
          <w:u w:val="single"/>
        </w:rPr>
      </w:pPr>
    </w:p>
    <w:p w14:paraId="61EE0737" w14:textId="078BBBE6" w:rsidR="00D902DB" w:rsidRDefault="00D902DB" w:rsidP="00D902DB">
      <w:pPr>
        <w:autoSpaceDE w:val="0"/>
        <w:autoSpaceDN w:val="0"/>
        <w:adjustRightInd w:val="0"/>
        <w:spacing w:after="0" w:line="240" w:lineRule="auto"/>
        <w:rPr>
          <w:rFonts w:ascii="Calibri" w:hAnsi="Calibri" w:cs="Calibri"/>
          <w:b/>
          <w:bCs/>
          <w:color w:val="262626" w:themeColor="text1" w:themeTint="D9"/>
          <w:sz w:val="24"/>
          <w:szCs w:val="24"/>
          <w:u w:val="single"/>
        </w:rPr>
      </w:pPr>
      <w:r>
        <w:rPr>
          <w:rFonts w:ascii="Calibri" w:hAnsi="Calibri" w:cs="Calibri"/>
          <w:b/>
          <w:bCs/>
          <w:color w:val="262626" w:themeColor="text1" w:themeTint="D9"/>
          <w:sz w:val="24"/>
          <w:szCs w:val="24"/>
          <w:u w:val="single"/>
        </w:rPr>
        <w:t>Kaj obsegajo po</w:t>
      </w:r>
      <w:r w:rsidRPr="00A36C6B">
        <w:rPr>
          <w:rFonts w:ascii="Calibri" w:hAnsi="Calibri" w:cs="Calibri"/>
          <w:b/>
          <w:bCs/>
          <w:color w:val="262626" w:themeColor="text1" w:themeTint="D9"/>
          <w:sz w:val="24"/>
          <w:szCs w:val="24"/>
          <w:u w:val="single"/>
        </w:rPr>
        <w:t>ojasnila k računovodskima izkazoma</w:t>
      </w:r>
      <w:r>
        <w:rPr>
          <w:rFonts w:ascii="Calibri" w:hAnsi="Calibri" w:cs="Calibri"/>
          <w:b/>
          <w:bCs/>
          <w:color w:val="262626" w:themeColor="text1" w:themeTint="D9"/>
          <w:sz w:val="24"/>
          <w:szCs w:val="24"/>
          <w:u w:val="single"/>
        </w:rPr>
        <w:t xml:space="preserve"> za POZP?</w:t>
      </w:r>
    </w:p>
    <w:p w14:paraId="29355DF1" w14:textId="567DB8FE" w:rsidR="00D902DB" w:rsidRDefault="00D902DB" w:rsidP="00D902DB">
      <w:pPr>
        <w:autoSpaceDE w:val="0"/>
        <w:autoSpaceDN w:val="0"/>
        <w:adjustRightInd w:val="0"/>
        <w:spacing w:after="0" w:line="240" w:lineRule="auto"/>
        <w:rPr>
          <w:rFonts w:ascii="Calibri" w:hAnsi="Calibri" w:cs="Calibri"/>
          <w:color w:val="262626" w:themeColor="text1" w:themeTint="D9"/>
          <w:sz w:val="24"/>
          <w:szCs w:val="24"/>
        </w:rPr>
      </w:pPr>
    </w:p>
    <w:p w14:paraId="302EDCB7" w14:textId="5D732776" w:rsidR="00D902DB" w:rsidRDefault="00D902DB" w:rsidP="00D902DB">
      <w:pPr>
        <w:autoSpaceDE w:val="0"/>
        <w:autoSpaceDN w:val="0"/>
        <w:adjustRightInd w:val="0"/>
        <w:spacing w:after="0" w:line="240" w:lineRule="auto"/>
        <w:rPr>
          <w:rFonts w:ascii="Calibri" w:hAnsi="Calibri" w:cs="Calibri"/>
          <w:color w:val="262626" w:themeColor="text1" w:themeTint="D9"/>
          <w:sz w:val="24"/>
          <w:szCs w:val="24"/>
        </w:rPr>
      </w:pPr>
      <w:r w:rsidRPr="00D902DB">
        <w:rPr>
          <w:rFonts w:ascii="Calibri" w:hAnsi="Calibri" w:cs="Calibri"/>
          <w:color w:val="262626" w:themeColor="text1" w:themeTint="D9"/>
          <w:sz w:val="24"/>
          <w:szCs w:val="24"/>
        </w:rPr>
        <w:t>POZP mora v pojasnilih k računovodskima izkazoma (SRS 3</w:t>
      </w:r>
      <w:r>
        <w:rPr>
          <w:rFonts w:ascii="Calibri" w:hAnsi="Calibri" w:cs="Calibri"/>
          <w:color w:val="262626" w:themeColor="text1" w:themeTint="D9"/>
          <w:sz w:val="24"/>
          <w:szCs w:val="24"/>
        </w:rPr>
        <w:t>4</w:t>
      </w:r>
      <w:r w:rsidRPr="00D902DB">
        <w:rPr>
          <w:rFonts w:ascii="Calibri" w:hAnsi="Calibri" w:cs="Calibri"/>
          <w:color w:val="262626" w:themeColor="text1" w:themeTint="D9"/>
          <w:sz w:val="24"/>
          <w:szCs w:val="24"/>
        </w:rPr>
        <w:t>) prikazati</w:t>
      </w:r>
      <w:r w:rsidR="008C3001">
        <w:rPr>
          <w:rFonts w:ascii="Calibri" w:hAnsi="Calibri" w:cs="Calibri"/>
          <w:color w:val="262626" w:themeColor="text1" w:themeTint="D9"/>
          <w:sz w:val="24"/>
          <w:szCs w:val="24"/>
        </w:rPr>
        <w:t>:</w:t>
      </w:r>
    </w:p>
    <w:p w14:paraId="1D3C1269" w14:textId="0FF39215" w:rsidR="008C3001" w:rsidRPr="008C3001" w:rsidRDefault="008C3001" w:rsidP="008C3001">
      <w:pPr>
        <w:pStyle w:val="Odstavekseznama"/>
        <w:numPr>
          <w:ilvl w:val="0"/>
          <w:numId w:val="7"/>
        </w:numPr>
        <w:shd w:val="clear" w:color="auto" w:fill="FFFFFF"/>
        <w:spacing w:before="15" w:after="15" w:line="240" w:lineRule="auto"/>
        <w:ind w:right="15"/>
        <w:rPr>
          <w:rFonts w:ascii="Calibri" w:eastAsia="Times New Roman" w:hAnsi="Calibri" w:cs="Calibri"/>
          <w:sz w:val="24"/>
          <w:szCs w:val="24"/>
          <w:lang w:eastAsia="en-GB"/>
        </w:rPr>
      </w:pPr>
      <w:r w:rsidRPr="008C3001">
        <w:rPr>
          <w:rFonts w:ascii="Arial" w:eastAsia="Times New Roman" w:hAnsi="Arial" w:cs="Arial"/>
          <w:color w:val="555555"/>
          <w:sz w:val="18"/>
          <w:szCs w:val="18"/>
          <w:lang w:eastAsia="en-GB"/>
        </w:rPr>
        <w:t xml:space="preserve"> </w:t>
      </w:r>
      <w:r w:rsidRPr="008C3001">
        <w:rPr>
          <w:rFonts w:ascii="Calibri" w:eastAsia="Times New Roman" w:hAnsi="Calibri" w:cs="Calibri"/>
          <w:sz w:val="24"/>
          <w:szCs w:val="24"/>
          <w:lang w:eastAsia="en-GB"/>
        </w:rPr>
        <w:t>sodila, v skladu s katerimi so na posamezne negospodarske javne službe in lastno dejavnost razporejeni sredstva, obveznosti do njihovih virov, prihodki in odhodki;</w:t>
      </w:r>
    </w:p>
    <w:p w14:paraId="249AF9FF" w14:textId="13ED5381" w:rsidR="008C3001" w:rsidRPr="008C3001" w:rsidRDefault="008C3001" w:rsidP="008C3001">
      <w:pPr>
        <w:pStyle w:val="Odstavekseznama"/>
        <w:numPr>
          <w:ilvl w:val="0"/>
          <w:numId w:val="7"/>
        </w:numPr>
        <w:shd w:val="clear" w:color="auto" w:fill="FFFFFF"/>
        <w:spacing w:before="15" w:after="15" w:line="240" w:lineRule="auto"/>
        <w:ind w:right="15"/>
        <w:rPr>
          <w:rFonts w:ascii="Calibri" w:eastAsia="Times New Roman" w:hAnsi="Calibri" w:cs="Calibri"/>
          <w:sz w:val="24"/>
          <w:szCs w:val="24"/>
          <w:lang w:eastAsia="en-GB"/>
        </w:rPr>
      </w:pPr>
      <w:r w:rsidRPr="008C3001">
        <w:rPr>
          <w:rFonts w:ascii="Calibri" w:eastAsia="Times New Roman" w:hAnsi="Calibri" w:cs="Calibri"/>
          <w:sz w:val="24"/>
          <w:szCs w:val="24"/>
          <w:lang w:eastAsia="en-GB"/>
        </w:rPr>
        <w:t xml:space="preserve"> terjatve do ustanovitelja;</w:t>
      </w:r>
    </w:p>
    <w:p w14:paraId="687579C9" w14:textId="02F6A6D6" w:rsidR="008C3001" w:rsidRPr="008C3001" w:rsidRDefault="008C3001" w:rsidP="008C3001">
      <w:pPr>
        <w:pStyle w:val="Odstavekseznama"/>
        <w:numPr>
          <w:ilvl w:val="0"/>
          <w:numId w:val="7"/>
        </w:numPr>
        <w:shd w:val="clear" w:color="auto" w:fill="FFFFFF"/>
        <w:spacing w:before="15" w:after="15" w:line="240" w:lineRule="auto"/>
        <w:ind w:right="15"/>
        <w:rPr>
          <w:rFonts w:ascii="Calibri" w:eastAsia="Times New Roman" w:hAnsi="Calibri" w:cs="Calibri"/>
          <w:sz w:val="24"/>
          <w:szCs w:val="24"/>
          <w:lang w:eastAsia="en-GB"/>
        </w:rPr>
      </w:pPr>
      <w:r w:rsidRPr="008C3001">
        <w:rPr>
          <w:rFonts w:ascii="Calibri" w:eastAsia="Times New Roman" w:hAnsi="Calibri" w:cs="Calibri"/>
          <w:sz w:val="24"/>
          <w:szCs w:val="24"/>
          <w:lang w:eastAsia="en-GB"/>
        </w:rPr>
        <w:t xml:space="preserve"> v preglednici stanja in gibanja opredmetenih osnovnih sredstev umetniška dela in druge predmete kulturne oziroma zgodovinske vrednosti, ki se ne amortizirajo;</w:t>
      </w:r>
    </w:p>
    <w:p w14:paraId="7DCDFF2A" w14:textId="6717AE25" w:rsidR="008C3001" w:rsidRPr="008C3001" w:rsidRDefault="008C3001" w:rsidP="008C3001">
      <w:pPr>
        <w:pStyle w:val="Odstavekseznama"/>
        <w:numPr>
          <w:ilvl w:val="0"/>
          <w:numId w:val="7"/>
        </w:numPr>
        <w:shd w:val="clear" w:color="auto" w:fill="FFFFFF"/>
        <w:spacing w:before="15" w:after="15" w:line="240" w:lineRule="auto"/>
        <w:ind w:right="15"/>
        <w:rPr>
          <w:rFonts w:ascii="Calibri" w:eastAsia="Times New Roman" w:hAnsi="Calibri" w:cs="Calibri"/>
          <w:sz w:val="24"/>
          <w:szCs w:val="24"/>
          <w:lang w:eastAsia="en-GB"/>
        </w:rPr>
      </w:pPr>
      <w:r w:rsidRPr="008C3001">
        <w:rPr>
          <w:rFonts w:ascii="Calibri" w:eastAsia="Times New Roman" w:hAnsi="Calibri" w:cs="Calibri"/>
          <w:sz w:val="24"/>
          <w:szCs w:val="24"/>
          <w:lang w:eastAsia="en-GB"/>
        </w:rPr>
        <w:lastRenderedPageBreak/>
        <w:t xml:space="preserve"> izgubo ali dobiček pri odtujitvi sredstev iz prejšnje alineje;</w:t>
      </w:r>
    </w:p>
    <w:p w14:paraId="62C2E4B8" w14:textId="6C2ADB4E" w:rsidR="008C3001" w:rsidRPr="008C3001" w:rsidRDefault="008C3001" w:rsidP="008C3001">
      <w:pPr>
        <w:pStyle w:val="Odstavekseznama"/>
        <w:numPr>
          <w:ilvl w:val="0"/>
          <w:numId w:val="7"/>
        </w:numPr>
        <w:shd w:val="clear" w:color="auto" w:fill="FFFFFF"/>
        <w:spacing w:before="15" w:after="15" w:line="240" w:lineRule="auto"/>
        <w:ind w:right="15"/>
        <w:rPr>
          <w:rFonts w:ascii="Calibri" w:eastAsia="Times New Roman" w:hAnsi="Calibri" w:cs="Calibri"/>
          <w:sz w:val="24"/>
          <w:szCs w:val="24"/>
          <w:lang w:eastAsia="en-GB"/>
        </w:rPr>
      </w:pPr>
      <w:r w:rsidRPr="008C3001">
        <w:rPr>
          <w:rFonts w:ascii="Calibri" w:eastAsia="Times New Roman" w:hAnsi="Calibri" w:cs="Calibri"/>
          <w:sz w:val="24"/>
          <w:szCs w:val="24"/>
          <w:lang w:eastAsia="en-GB"/>
        </w:rPr>
        <w:t xml:space="preserve"> prihodke in odhodke po posameznih vrstah dejavnosti negospodarskih javnih služb in lastni dejavnosti;</w:t>
      </w:r>
    </w:p>
    <w:p w14:paraId="69CD476D" w14:textId="141E1C6B" w:rsidR="008C3001" w:rsidRPr="008C3001" w:rsidRDefault="008C3001" w:rsidP="008C3001">
      <w:pPr>
        <w:pStyle w:val="Odstavekseznama"/>
        <w:numPr>
          <w:ilvl w:val="0"/>
          <w:numId w:val="7"/>
        </w:numPr>
        <w:shd w:val="clear" w:color="auto" w:fill="FFFFFF"/>
        <w:spacing w:before="15" w:after="15" w:line="240" w:lineRule="auto"/>
        <w:ind w:right="15"/>
        <w:rPr>
          <w:rFonts w:ascii="Calibri" w:eastAsia="Times New Roman" w:hAnsi="Calibri" w:cs="Calibri"/>
          <w:sz w:val="24"/>
          <w:szCs w:val="24"/>
          <w:lang w:eastAsia="en-GB"/>
        </w:rPr>
      </w:pPr>
      <w:r w:rsidRPr="008C3001">
        <w:rPr>
          <w:rFonts w:ascii="Calibri" w:eastAsia="Times New Roman" w:hAnsi="Calibri" w:cs="Calibri"/>
          <w:sz w:val="24"/>
          <w:szCs w:val="24"/>
          <w:lang w:eastAsia="en-GB"/>
        </w:rPr>
        <w:t xml:space="preserve"> v okviru prihodkov za opravljanje dejavnosti negospodarskih javnih služb posebej prihodke sredstev iz proračuna in posebej druge prihodke;</w:t>
      </w:r>
    </w:p>
    <w:p w14:paraId="0339FF9C" w14:textId="219A5D54" w:rsidR="008C3001" w:rsidRPr="008C3001" w:rsidRDefault="008C3001" w:rsidP="008C3001">
      <w:pPr>
        <w:pStyle w:val="Odstavekseznama"/>
        <w:numPr>
          <w:ilvl w:val="0"/>
          <w:numId w:val="7"/>
        </w:numPr>
        <w:shd w:val="clear" w:color="auto" w:fill="FFFFFF"/>
        <w:spacing w:before="15" w:after="15" w:line="240" w:lineRule="auto"/>
        <w:ind w:right="15"/>
        <w:rPr>
          <w:rFonts w:ascii="Calibri" w:eastAsia="Times New Roman" w:hAnsi="Calibri" w:cs="Calibri"/>
          <w:sz w:val="24"/>
          <w:szCs w:val="24"/>
          <w:lang w:eastAsia="en-GB"/>
        </w:rPr>
      </w:pPr>
      <w:r w:rsidRPr="008C3001">
        <w:rPr>
          <w:rFonts w:ascii="Calibri" w:eastAsia="Times New Roman" w:hAnsi="Calibri" w:cs="Calibri"/>
          <w:sz w:val="24"/>
          <w:szCs w:val="24"/>
          <w:lang w:eastAsia="en-GB"/>
        </w:rPr>
        <w:t xml:space="preserve"> posredne stroške in njihovo razporeditev na dejavnosti posameznih negospodarskih javnih služb in lastno dejavnost;</w:t>
      </w:r>
    </w:p>
    <w:p w14:paraId="630FC36F" w14:textId="70620873" w:rsidR="008C3001" w:rsidRPr="008C3001" w:rsidRDefault="008C3001" w:rsidP="008C3001">
      <w:pPr>
        <w:pStyle w:val="Odstavekseznama"/>
        <w:numPr>
          <w:ilvl w:val="0"/>
          <w:numId w:val="7"/>
        </w:numPr>
        <w:shd w:val="clear" w:color="auto" w:fill="FFFFFF"/>
        <w:spacing w:before="15" w:after="15" w:line="240" w:lineRule="auto"/>
        <w:ind w:right="15"/>
        <w:rPr>
          <w:rFonts w:ascii="Calibri" w:eastAsia="Times New Roman" w:hAnsi="Calibri" w:cs="Calibri"/>
          <w:sz w:val="24"/>
          <w:szCs w:val="24"/>
          <w:lang w:eastAsia="en-GB"/>
        </w:rPr>
      </w:pPr>
      <w:r w:rsidRPr="008C3001">
        <w:rPr>
          <w:rFonts w:ascii="Calibri" w:eastAsia="Times New Roman" w:hAnsi="Calibri" w:cs="Calibri"/>
          <w:sz w:val="24"/>
          <w:szCs w:val="24"/>
          <w:lang w:eastAsia="en-GB"/>
        </w:rPr>
        <w:t xml:space="preserve"> obračunano amortizacijo in njeno porabo za nakup:</w:t>
      </w:r>
    </w:p>
    <w:p w14:paraId="6EC96944" w14:textId="5CA9B91A" w:rsidR="008C3001" w:rsidRPr="008C3001" w:rsidRDefault="008C3001" w:rsidP="008C3001">
      <w:pPr>
        <w:pStyle w:val="Odstavekseznama"/>
        <w:shd w:val="clear" w:color="auto" w:fill="FFFFFF"/>
        <w:spacing w:before="15" w:after="15" w:line="240" w:lineRule="auto"/>
        <w:ind w:right="15"/>
        <w:rPr>
          <w:rFonts w:ascii="Calibri" w:eastAsia="Times New Roman" w:hAnsi="Calibri" w:cs="Calibri"/>
          <w:sz w:val="24"/>
          <w:szCs w:val="24"/>
          <w:lang w:eastAsia="en-GB"/>
        </w:rPr>
      </w:pPr>
      <w:r w:rsidRPr="008C3001">
        <w:rPr>
          <w:rFonts w:ascii="Calibri" w:eastAsia="Times New Roman" w:hAnsi="Calibri" w:cs="Calibri"/>
          <w:sz w:val="24"/>
          <w:szCs w:val="24"/>
          <w:lang w:eastAsia="en-GB"/>
        </w:rPr>
        <w:t xml:space="preserve"> osnovnih sredstev za opravljanje dejavnosti negospodarskih javnih služb,</w:t>
      </w:r>
    </w:p>
    <w:p w14:paraId="3FD854C8" w14:textId="762F007F" w:rsidR="008C3001" w:rsidRPr="008C3001" w:rsidRDefault="008C3001" w:rsidP="008C3001">
      <w:pPr>
        <w:pStyle w:val="Odstavekseznama"/>
        <w:shd w:val="clear" w:color="auto" w:fill="FFFFFF"/>
        <w:spacing w:before="15" w:after="15" w:line="240" w:lineRule="auto"/>
        <w:ind w:right="15"/>
        <w:rPr>
          <w:rFonts w:ascii="Calibri" w:eastAsia="Times New Roman" w:hAnsi="Calibri" w:cs="Calibri"/>
          <w:sz w:val="24"/>
          <w:szCs w:val="24"/>
          <w:lang w:eastAsia="en-GB"/>
        </w:rPr>
      </w:pPr>
      <w:r w:rsidRPr="008C3001">
        <w:rPr>
          <w:rFonts w:ascii="Calibri" w:eastAsia="Times New Roman" w:hAnsi="Calibri" w:cs="Calibri"/>
          <w:sz w:val="24"/>
          <w:szCs w:val="24"/>
          <w:lang w:eastAsia="en-GB"/>
        </w:rPr>
        <w:t xml:space="preserve"> osnovnih sredstev za opravljanje lastne dejavnosti;</w:t>
      </w:r>
    </w:p>
    <w:p w14:paraId="693958E4" w14:textId="0751800A" w:rsidR="008C3001" w:rsidRPr="008C3001" w:rsidRDefault="008C3001" w:rsidP="008C3001">
      <w:pPr>
        <w:pStyle w:val="Odstavekseznama"/>
        <w:numPr>
          <w:ilvl w:val="0"/>
          <w:numId w:val="7"/>
        </w:numPr>
        <w:shd w:val="clear" w:color="auto" w:fill="FFFFFF"/>
        <w:spacing w:before="15" w:after="15" w:line="240" w:lineRule="auto"/>
        <w:ind w:right="15"/>
        <w:rPr>
          <w:rFonts w:ascii="Calibri" w:eastAsia="Times New Roman" w:hAnsi="Calibri" w:cs="Calibri"/>
          <w:sz w:val="24"/>
          <w:szCs w:val="24"/>
          <w:lang w:eastAsia="en-GB"/>
        </w:rPr>
      </w:pPr>
      <w:r w:rsidRPr="008C3001">
        <w:rPr>
          <w:rFonts w:ascii="Calibri" w:eastAsia="Times New Roman" w:hAnsi="Calibri" w:cs="Calibri"/>
          <w:sz w:val="24"/>
          <w:szCs w:val="24"/>
          <w:lang w:eastAsia="en-GB"/>
        </w:rPr>
        <w:t xml:space="preserve"> oblikovanje in porabo dolgoročno odloženih prihodkov za pokrivanje stroškov amortizacije:</w:t>
      </w:r>
    </w:p>
    <w:p w14:paraId="581413AB" w14:textId="0432F11E" w:rsidR="008C3001" w:rsidRPr="008C3001" w:rsidRDefault="008C3001" w:rsidP="008C3001">
      <w:pPr>
        <w:pStyle w:val="Odstavekseznama"/>
        <w:shd w:val="clear" w:color="auto" w:fill="FFFFFF"/>
        <w:spacing w:before="15" w:after="15" w:line="240" w:lineRule="auto"/>
        <w:ind w:right="15"/>
        <w:rPr>
          <w:rFonts w:ascii="Calibri" w:eastAsia="Times New Roman" w:hAnsi="Calibri" w:cs="Calibri"/>
          <w:sz w:val="24"/>
          <w:szCs w:val="24"/>
          <w:lang w:eastAsia="en-GB"/>
        </w:rPr>
      </w:pPr>
      <w:r w:rsidRPr="008C3001">
        <w:rPr>
          <w:rFonts w:ascii="Calibri" w:eastAsia="Times New Roman" w:hAnsi="Calibri" w:cs="Calibri"/>
          <w:sz w:val="24"/>
          <w:szCs w:val="24"/>
          <w:lang w:eastAsia="en-GB"/>
        </w:rPr>
        <w:t xml:space="preserve"> osnovnih sredstev, namenjenih za opravljanje dejavnosti negospodarskih javnih služb,</w:t>
      </w:r>
    </w:p>
    <w:p w14:paraId="15437618" w14:textId="3158AB72" w:rsidR="008C3001" w:rsidRPr="008C3001" w:rsidRDefault="008C3001" w:rsidP="008C3001">
      <w:pPr>
        <w:pStyle w:val="Odstavekseznama"/>
        <w:shd w:val="clear" w:color="auto" w:fill="FFFFFF"/>
        <w:spacing w:before="15" w:after="15" w:line="240" w:lineRule="auto"/>
        <w:ind w:right="15"/>
        <w:rPr>
          <w:rFonts w:ascii="Calibri" w:eastAsia="Times New Roman" w:hAnsi="Calibri" w:cs="Calibri"/>
          <w:sz w:val="24"/>
          <w:szCs w:val="24"/>
          <w:lang w:eastAsia="en-GB"/>
        </w:rPr>
      </w:pPr>
      <w:r w:rsidRPr="008C3001">
        <w:rPr>
          <w:rFonts w:ascii="Calibri" w:eastAsia="Times New Roman" w:hAnsi="Calibri" w:cs="Calibri"/>
          <w:sz w:val="24"/>
          <w:szCs w:val="24"/>
          <w:lang w:eastAsia="en-GB"/>
        </w:rPr>
        <w:t xml:space="preserve"> osnovnih sredstev za opravljanje lastne dejavnosti;</w:t>
      </w:r>
    </w:p>
    <w:p w14:paraId="58162A91" w14:textId="2D42A855" w:rsidR="008C3001" w:rsidRPr="008C3001" w:rsidRDefault="008C3001" w:rsidP="008C3001">
      <w:pPr>
        <w:pStyle w:val="Odstavekseznama"/>
        <w:numPr>
          <w:ilvl w:val="0"/>
          <w:numId w:val="7"/>
        </w:numPr>
        <w:shd w:val="clear" w:color="auto" w:fill="FFFFFF"/>
        <w:spacing w:before="15" w:after="15" w:line="240" w:lineRule="auto"/>
        <w:ind w:right="15"/>
        <w:rPr>
          <w:rFonts w:ascii="Calibri" w:eastAsia="Times New Roman" w:hAnsi="Calibri" w:cs="Calibri"/>
          <w:sz w:val="24"/>
          <w:szCs w:val="24"/>
          <w:lang w:eastAsia="en-GB"/>
        </w:rPr>
      </w:pPr>
      <w:r w:rsidRPr="008C3001">
        <w:rPr>
          <w:rFonts w:ascii="Calibri" w:eastAsia="Times New Roman" w:hAnsi="Calibri" w:cs="Calibri"/>
          <w:sz w:val="24"/>
          <w:szCs w:val="24"/>
          <w:lang w:eastAsia="en-GB"/>
        </w:rPr>
        <w:t xml:space="preserve"> prejeta in porabljena namenska sredstva po namenih ter znotraj teh sredstev posebej prejeta in porabljena sredstva iz proračuna;</w:t>
      </w:r>
    </w:p>
    <w:p w14:paraId="656BF130" w14:textId="57A863EB" w:rsidR="008C3001" w:rsidRPr="008C3001" w:rsidRDefault="008C3001" w:rsidP="008C3001">
      <w:pPr>
        <w:pStyle w:val="Odstavekseznama"/>
        <w:numPr>
          <w:ilvl w:val="0"/>
          <w:numId w:val="7"/>
        </w:numPr>
        <w:shd w:val="clear" w:color="auto" w:fill="FFFFFF"/>
        <w:spacing w:before="15" w:after="15" w:line="240" w:lineRule="auto"/>
        <w:ind w:right="15"/>
        <w:rPr>
          <w:rFonts w:ascii="Calibri" w:eastAsia="Times New Roman" w:hAnsi="Calibri" w:cs="Calibri"/>
          <w:sz w:val="24"/>
          <w:szCs w:val="24"/>
          <w:lang w:eastAsia="en-GB"/>
        </w:rPr>
      </w:pPr>
      <w:r w:rsidRPr="008C3001">
        <w:rPr>
          <w:rFonts w:ascii="Calibri" w:eastAsia="Times New Roman" w:hAnsi="Calibri" w:cs="Calibri"/>
          <w:sz w:val="24"/>
          <w:szCs w:val="24"/>
          <w:lang w:eastAsia="en-GB"/>
        </w:rPr>
        <w:t xml:space="preserve"> deleže posameznih soustanoviteljev v ustanovitvenem vložku;</w:t>
      </w:r>
    </w:p>
    <w:p w14:paraId="628931DD" w14:textId="28B0B905" w:rsidR="008C3001" w:rsidRDefault="008C3001" w:rsidP="008C3001">
      <w:pPr>
        <w:pStyle w:val="Odstavekseznama"/>
        <w:numPr>
          <w:ilvl w:val="0"/>
          <w:numId w:val="7"/>
        </w:numPr>
        <w:shd w:val="clear" w:color="auto" w:fill="FFFFFF"/>
        <w:spacing w:before="15" w:after="15" w:line="240" w:lineRule="auto"/>
        <w:ind w:right="15"/>
        <w:rPr>
          <w:rFonts w:ascii="Calibri" w:eastAsia="Times New Roman" w:hAnsi="Calibri" w:cs="Calibri"/>
          <w:sz w:val="24"/>
          <w:szCs w:val="24"/>
          <w:lang w:eastAsia="en-GB"/>
        </w:rPr>
      </w:pPr>
      <w:r w:rsidRPr="008C3001">
        <w:rPr>
          <w:rFonts w:ascii="Calibri" w:eastAsia="Times New Roman" w:hAnsi="Calibri" w:cs="Calibri"/>
          <w:sz w:val="24"/>
          <w:szCs w:val="24"/>
          <w:lang w:eastAsia="en-GB"/>
        </w:rPr>
        <w:t xml:space="preserve"> ugotovljeni in razporejeni presežek prihodkov oziroma ugotovljeni in pokriti presežek odhodkov po dejavnostih posameznih negospodarskih javnih služb in lastnih dejavnosti.</w:t>
      </w:r>
    </w:p>
    <w:p w14:paraId="1EB6B6AE" w14:textId="41DB991A" w:rsidR="008C3001" w:rsidRPr="008C3001" w:rsidRDefault="008C3001" w:rsidP="008C3001">
      <w:pPr>
        <w:shd w:val="clear" w:color="auto" w:fill="FFFFFF"/>
        <w:spacing w:before="15" w:after="15" w:line="240" w:lineRule="auto"/>
        <w:ind w:right="15"/>
        <w:rPr>
          <w:rFonts w:ascii="Calibri" w:eastAsia="Times New Roman" w:hAnsi="Calibri" w:cs="Calibri"/>
          <w:sz w:val="24"/>
          <w:szCs w:val="24"/>
          <w:lang w:eastAsia="en-GB"/>
        </w:rPr>
      </w:pPr>
      <w:r>
        <w:rPr>
          <w:rFonts w:ascii="Calibri" w:eastAsia="Times New Roman" w:hAnsi="Calibri" w:cs="Calibri"/>
          <w:sz w:val="24"/>
          <w:szCs w:val="24"/>
          <w:lang w:eastAsia="en-GB"/>
        </w:rPr>
        <w:t xml:space="preserve">Pojasnila k bilanci stanja in pojasnila k izkazu poslovnega izida. </w:t>
      </w:r>
    </w:p>
    <w:p w14:paraId="1696A0D3" w14:textId="3C470BE7" w:rsidR="00D902DB" w:rsidRDefault="00D902DB" w:rsidP="00D902DB">
      <w:pPr>
        <w:autoSpaceDE w:val="0"/>
        <w:autoSpaceDN w:val="0"/>
        <w:adjustRightInd w:val="0"/>
        <w:spacing w:after="0" w:line="240" w:lineRule="auto"/>
        <w:rPr>
          <w:rFonts w:ascii="Calibri" w:hAnsi="Calibri" w:cs="Calibri"/>
          <w:color w:val="262626" w:themeColor="text1" w:themeTint="D9"/>
          <w:sz w:val="24"/>
          <w:szCs w:val="24"/>
        </w:rPr>
      </w:pPr>
    </w:p>
    <w:p w14:paraId="0CA079AF" w14:textId="61964FD7" w:rsidR="008C3001" w:rsidRPr="008C3001" w:rsidRDefault="008C3001" w:rsidP="00D902DB">
      <w:pPr>
        <w:autoSpaceDE w:val="0"/>
        <w:autoSpaceDN w:val="0"/>
        <w:adjustRightInd w:val="0"/>
        <w:spacing w:after="0" w:line="240" w:lineRule="auto"/>
        <w:rPr>
          <w:rFonts w:ascii="Calibri" w:hAnsi="Calibri" w:cs="Calibri"/>
          <w:b/>
          <w:bCs/>
          <w:color w:val="262626" w:themeColor="text1" w:themeTint="D9"/>
          <w:sz w:val="24"/>
          <w:szCs w:val="24"/>
          <w:u w:val="single"/>
        </w:rPr>
      </w:pPr>
      <w:r w:rsidRPr="008C3001">
        <w:rPr>
          <w:rFonts w:ascii="Calibri" w:hAnsi="Calibri" w:cs="Calibri"/>
          <w:b/>
          <w:bCs/>
          <w:color w:val="262626" w:themeColor="text1" w:themeTint="D9"/>
          <w:sz w:val="24"/>
          <w:szCs w:val="24"/>
          <w:u w:val="single"/>
        </w:rPr>
        <w:t>Poslovno poročilo</w:t>
      </w:r>
      <w:r>
        <w:rPr>
          <w:rFonts w:ascii="Calibri" w:hAnsi="Calibri" w:cs="Calibri"/>
          <w:b/>
          <w:bCs/>
          <w:color w:val="262626" w:themeColor="text1" w:themeTint="D9"/>
          <w:sz w:val="24"/>
          <w:szCs w:val="24"/>
          <w:u w:val="single"/>
        </w:rPr>
        <w:t xml:space="preserve"> za POZP </w:t>
      </w:r>
      <w:r w:rsidRPr="008C3001">
        <w:rPr>
          <w:rFonts w:ascii="Calibri" w:hAnsi="Calibri" w:cs="Calibri"/>
          <w:b/>
          <w:bCs/>
          <w:color w:val="262626" w:themeColor="text1" w:themeTint="D9"/>
          <w:sz w:val="24"/>
          <w:szCs w:val="24"/>
          <w:u w:val="single"/>
        </w:rPr>
        <w:t xml:space="preserve"> </w:t>
      </w:r>
    </w:p>
    <w:p w14:paraId="00599617" w14:textId="6CAB7546" w:rsidR="00D902DB" w:rsidRDefault="00D902DB" w:rsidP="00E41AAE">
      <w:pPr>
        <w:autoSpaceDE w:val="0"/>
        <w:autoSpaceDN w:val="0"/>
        <w:adjustRightInd w:val="0"/>
        <w:spacing w:after="0" w:line="240" w:lineRule="auto"/>
        <w:rPr>
          <w:rFonts w:ascii="Calibri" w:hAnsi="Calibri" w:cs="Calibri"/>
          <w:color w:val="262626" w:themeColor="text1" w:themeTint="D9"/>
          <w:sz w:val="24"/>
          <w:szCs w:val="24"/>
        </w:rPr>
      </w:pPr>
    </w:p>
    <w:p w14:paraId="08BEF7AB" w14:textId="00EA3D1C" w:rsidR="008C3001" w:rsidRDefault="008C3001" w:rsidP="00E41AAE">
      <w:pPr>
        <w:autoSpaceDE w:val="0"/>
        <w:autoSpaceDN w:val="0"/>
        <w:adjustRightInd w:val="0"/>
        <w:spacing w:after="0" w:line="240" w:lineRule="auto"/>
        <w:rPr>
          <w:rFonts w:ascii="Calibri" w:hAnsi="Calibri" w:cs="Calibri"/>
          <w:color w:val="262626" w:themeColor="text1" w:themeTint="D9"/>
          <w:sz w:val="24"/>
          <w:szCs w:val="24"/>
        </w:rPr>
      </w:pPr>
      <w:r w:rsidRPr="008C3001">
        <w:rPr>
          <w:rFonts w:ascii="Calibri" w:hAnsi="Calibri" w:cs="Calibri"/>
          <w:color w:val="262626" w:themeColor="text1" w:themeTint="D9"/>
          <w:sz w:val="24"/>
          <w:szCs w:val="24"/>
        </w:rPr>
        <w:t>Poslovno poročilo vsebuje opis poslovanja v obračunskem obdobju. V njem POZP predvsem predstavi način uresničevanja ciljev, opredeljenih v notranjih aktih in finančnih načrtih, ter opis drugih pomembnih zadev, ki pripomorejo k boljšemu razumevanju letnega poročila. POZP, ki opravlja več vrst pridobitnih dejavnosti, opiše tudi njihovo vrsto in obseg.</w:t>
      </w:r>
    </w:p>
    <w:p w14:paraId="274FAE91" w14:textId="77777777" w:rsidR="00D902DB" w:rsidRDefault="00D902DB" w:rsidP="00E41AAE">
      <w:pPr>
        <w:autoSpaceDE w:val="0"/>
        <w:autoSpaceDN w:val="0"/>
        <w:adjustRightInd w:val="0"/>
        <w:spacing w:after="0" w:line="240" w:lineRule="auto"/>
        <w:rPr>
          <w:rFonts w:ascii="Calibri" w:hAnsi="Calibri" w:cs="Calibri"/>
          <w:color w:val="262626" w:themeColor="text1" w:themeTint="D9"/>
          <w:sz w:val="24"/>
          <w:szCs w:val="24"/>
        </w:rPr>
      </w:pPr>
    </w:p>
    <w:p w14:paraId="18242864" w14:textId="77777777" w:rsidR="00D902DB" w:rsidRDefault="00D902DB" w:rsidP="00E41AAE">
      <w:pPr>
        <w:autoSpaceDE w:val="0"/>
        <w:autoSpaceDN w:val="0"/>
        <w:adjustRightInd w:val="0"/>
        <w:spacing w:after="0" w:line="240" w:lineRule="auto"/>
        <w:rPr>
          <w:rFonts w:ascii="Calibri" w:hAnsi="Calibri" w:cs="Calibri"/>
          <w:color w:val="262626" w:themeColor="text1" w:themeTint="D9"/>
          <w:sz w:val="24"/>
          <w:szCs w:val="24"/>
        </w:rPr>
      </w:pPr>
    </w:p>
    <w:p w14:paraId="10337396" w14:textId="77777777" w:rsidR="00D902DB" w:rsidRDefault="00D902DB" w:rsidP="00E41AAE">
      <w:pPr>
        <w:autoSpaceDE w:val="0"/>
        <w:autoSpaceDN w:val="0"/>
        <w:adjustRightInd w:val="0"/>
        <w:spacing w:after="0" w:line="240" w:lineRule="auto"/>
        <w:rPr>
          <w:rFonts w:ascii="Calibri" w:hAnsi="Calibri" w:cs="Calibri"/>
          <w:color w:val="262626" w:themeColor="text1" w:themeTint="D9"/>
          <w:sz w:val="24"/>
          <w:szCs w:val="24"/>
        </w:rPr>
      </w:pPr>
    </w:p>
    <w:p w14:paraId="319D3823" w14:textId="5817EC60" w:rsidR="00D902DB" w:rsidRDefault="00874521" w:rsidP="00E41AAE">
      <w:p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Pripravila:</w:t>
      </w:r>
    </w:p>
    <w:p w14:paraId="28D41364" w14:textId="6AF8A81C" w:rsidR="00874521" w:rsidRDefault="00874521" w:rsidP="00E41AAE">
      <w:pPr>
        <w:autoSpaceDE w:val="0"/>
        <w:autoSpaceDN w:val="0"/>
        <w:adjustRightInd w:val="0"/>
        <w:spacing w:after="0" w:line="240" w:lineRule="auto"/>
        <w:rPr>
          <w:rFonts w:ascii="Calibri" w:hAnsi="Calibri" w:cs="Calibri"/>
          <w:color w:val="262626" w:themeColor="text1" w:themeTint="D9"/>
          <w:sz w:val="24"/>
          <w:szCs w:val="24"/>
        </w:rPr>
      </w:pPr>
    </w:p>
    <w:p w14:paraId="605630A2" w14:textId="2FB4A2F5" w:rsidR="00874521" w:rsidRDefault="00874521" w:rsidP="00E41AAE">
      <w:p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Pušnjak Anka</w:t>
      </w:r>
    </w:p>
    <w:p w14:paraId="3FDC6706" w14:textId="056918BD" w:rsidR="00874521" w:rsidRDefault="00874521" w:rsidP="00E41AAE">
      <w:pPr>
        <w:autoSpaceDE w:val="0"/>
        <w:autoSpaceDN w:val="0"/>
        <w:adjustRightInd w:val="0"/>
        <w:spacing w:after="0" w:line="240" w:lineRule="auto"/>
        <w:rPr>
          <w:rFonts w:ascii="Calibri" w:hAnsi="Calibri" w:cs="Calibri"/>
          <w:color w:val="262626" w:themeColor="text1" w:themeTint="D9"/>
          <w:sz w:val="24"/>
          <w:szCs w:val="24"/>
        </w:rPr>
      </w:pPr>
    </w:p>
    <w:p w14:paraId="2BE6D00C" w14:textId="3561BFE4" w:rsidR="00874521" w:rsidRDefault="0008272F" w:rsidP="00E41AAE">
      <w:p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Viri:</w:t>
      </w:r>
    </w:p>
    <w:p w14:paraId="020B5CA8" w14:textId="3E640C72" w:rsidR="0008272F" w:rsidRDefault="0008272F" w:rsidP="0008272F">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Zakon o delovnih razmerjih </w:t>
      </w:r>
    </w:p>
    <w:p w14:paraId="1F3E3899" w14:textId="20DC35AC" w:rsidR="0008272F" w:rsidRDefault="0008272F" w:rsidP="0008272F">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Zakon o davku od dohodkov pravnih oseb</w:t>
      </w:r>
    </w:p>
    <w:p w14:paraId="3B03D6D6" w14:textId="1883EBFD" w:rsidR="0008272F" w:rsidRDefault="0008272F" w:rsidP="0008272F">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Zakon o dohodnini</w:t>
      </w:r>
    </w:p>
    <w:p w14:paraId="1800FE43" w14:textId="1A3298F8" w:rsidR="0008272F" w:rsidRDefault="0008272F" w:rsidP="0008272F">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Zakon o pokojninskem in invalidskem zavarovanju </w:t>
      </w:r>
    </w:p>
    <w:p w14:paraId="22231CC4" w14:textId="3674BBC6" w:rsidR="0008272F" w:rsidRDefault="0008272F" w:rsidP="0008272F">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Zakon o računovodstvu </w:t>
      </w:r>
    </w:p>
    <w:p w14:paraId="37546EDA" w14:textId="0637ADEB" w:rsidR="0008272F" w:rsidRDefault="0008272F" w:rsidP="0008272F">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Zakon o davku na dodano vrednost</w:t>
      </w:r>
    </w:p>
    <w:p w14:paraId="2117C3ED" w14:textId="2E727ABA" w:rsidR="0008272F" w:rsidRDefault="0008272F" w:rsidP="0008272F">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Pravilnik o pridobitni in nepridobitni dejavnosti </w:t>
      </w:r>
    </w:p>
    <w:p w14:paraId="78DAF0F5" w14:textId="63AE5C00" w:rsidR="0008272F" w:rsidRDefault="0008272F" w:rsidP="0008272F">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Revija IKS</w:t>
      </w:r>
    </w:p>
    <w:p w14:paraId="330C6503" w14:textId="65A6545F" w:rsidR="0008272F" w:rsidRPr="0008272F" w:rsidRDefault="0008272F" w:rsidP="0008272F">
      <w:pPr>
        <w:pStyle w:val="Odstavekseznama"/>
        <w:numPr>
          <w:ilvl w:val="0"/>
          <w:numId w:val="7"/>
        </w:numPr>
        <w:autoSpaceDE w:val="0"/>
        <w:autoSpaceDN w:val="0"/>
        <w:adjustRightInd w:val="0"/>
        <w:spacing w:after="0" w:line="240" w:lineRule="auto"/>
        <w:rPr>
          <w:rFonts w:ascii="Calibri" w:hAnsi="Calibri" w:cs="Calibri"/>
          <w:color w:val="262626" w:themeColor="text1" w:themeTint="D9"/>
          <w:sz w:val="24"/>
          <w:szCs w:val="24"/>
        </w:rPr>
      </w:pPr>
      <w:r>
        <w:rPr>
          <w:rFonts w:ascii="Calibri" w:hAnsi="Calibri" w:cs="Calibri"/>
          <w:color w:val="262626" w:themeColor="text1" w:themeTint="D9"/>
          <w:sz w:val="24"/>
          <w:szCs w:val="24"/>
        </w:rPr>
        <w:t xml:space="preserve">Spletne strani: </w:t>
      </w:r>
      <w:hyperlink r:id="rId13" w:history="1">
        <w:r w:rsidR="00961DCD" w:rsidRPr="00604072">
          <w:rPr>
            <w:rStyle w:val="Hiperpovezava"/>
            <w:rFonts w:ascii="Calibri" w:hAnsi="Calibri" w:cs="Calibri"/>
            <w:sz w:val="24"/>
            <w:szCs w:val="24"/>
          </w:rPr>
          <w:t>www.petka.si</w:t>
        </w:r>
      </w:hyperlink>
      <w:r w:rsidR="00961DCD">
        <w:rPr>
          <w:rFonts w:ascii="Calibri" w:hAnsi="Calibri" w:cs="Calibri"/>
          <w:color w:val="262626" w:themeColor="text1" w:themeTint="D9"/>
          <w:sz w:val="24"/>
          <w:szCs w:val="24"/>
        </w:rPr>
        <w:t>, www.superdavki.com,...</w:t>
      </w:r>
    </w:p>
    <w:sectPr w:rsidR="0008272F" w:rsidRPr="0008272F" w:rsidSect="00E30267">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B1D0C" w14:textId="77777777" w:rsidR="006D6BDF" w:rsidRDefault="006D6BDF" w:rsidP="008C3001">
      <w:pPr>
        <w:spacing w:after="0" w:line="240" w:lineRule="auto"/>
      </w:pPr>
      <w:r>
        <w:separator/>
      </w:r>
    </w:p>
  </w:endnote>
  <w:endnote w:type="continuationSeparator" w:id="0">
    <w:p w14:paraId="244727B9" w14:textId="77777777" w:rsidR="006D6BDF" w:rsidRDefault="006D6BDF" w:rsidP="008C3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alatinoLinotype,Bold">
    <w:altName w:val="Palatino Linotype"/>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2418431"/>
      <w:docPartObj>
        <w:docPartGallery w:val="Page Numbers (Bottom of Page)"/>
        <w:docPartUnique/>
      </w:docPartObj>
    </w:sdtPr>
    <w:sdtEndPr/>
    <w:sdtContent>
      <w:p w14:paraId="519079B8" w14:textId="7517F76E" w:rsidR="001231E7" w:rsidRDefault="001231E7">
        <w:pPr>
          <w:pStyle w:val="Noga"/>
          <w:jc w:val="right"/>
        </w:pPr>
        <w:r>
          <w:fldChar w:fldCharType="begin"/>
        </w:r>
        <w:r>
          <w:instrText>PAGE   \* MERGEFORMAT</w:instrText>
        </w:r>
        <w:r>
          <w:fldChar w:fldCharType="separate"/>
        </w:r>
        <w:r>
          <w:rPr>
            <w:lang w:val="sl-SI"/>
          </w:rPr>
          <w:t>2</w:t>
        </w:r>
        <w:r>
          <w:fldChar w:fldCharType="end"/>
        </w:r>
      </w:p>
    </w:sdtContent>
  </w:sdt>
  <w:p w14:paraId="6F1408DD" w14:textId="77777777" w:rsidR="001231E7" w:rsidRDefault="001231E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0B535" w14:textId="77777777" w:rsidR="006D6BDF" w:rsidRDefault="006D6BDF" w:rsidP="008C3001">
      <w:pPr>
        <w:spacing w:after="0" w:line="240" w:lineRule="auto"/>
      </w:pPr>
      <w:r>
        <w:separator/>
      </w:r>
    </w:p>
  </w:footnote>
  <w:footnote w:type="continuationSeparator" w:id="0">
    <w:p w14:paraId="1FA3D777" w14:textId="77777777" w:rsidR="006D6BDF" w:rsidRDefault="006D6BDF" w:rsidP="008C30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6632E"/>
    <w:multiLevelType w:val="multilevel"/>
    <w:tmpl w:val="3AB8E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651730"/>
    <w:multiLevelType w:val="multilevel"/>
    <w:tmpl w:val="997C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127C4F"/>
    <w:multiLevelType w:val="hybridMultilevel"/>
    <w:tmpl w:val="79702F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F47B72"/>
    <w:multiLevelType w:val="hybridMultilevel"/>
    <w:tmpl w:val="DDE2E572"/>
    <w:lvl w:ilvl="0" w:tplc="A0681D2E">
      <w:start w:val="2"/>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D64FFF"/>
    <w:multiLevelType w:val="hybridMultilevel"/>
    <w:tmpl w:val="15968B20"/>
    <w:lvl w:ilvl="0" w:tplc="8938B77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572B86"/>
    <w:multiLevelType w:val="multilevel"/>
    <w:tmpl w:val="DDF6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C94BF2"/>
    <w:multiLevelType w:val="hybridMultilevel"/>
    <w:tmpl w:val="EA2059A8"/>
    <w:lvl w:ilvl="0" w:tplc="C6820C8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661E7B"/>
    <w:multiLevelType w:val="multilevel"/>
    <w:tmpl w:val="F42CEB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8A7BA0"/>
    <w:multiLevelType w:val="multilevel"/>
    <w:tmpl w:val="E6584608"/>
    <w:lvl w:ilvl="0">
      <w:start w:val="1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9333E6"/>
    <w:multiLevelType w:val="multilevel"/>
    <w:tmpl w:val="6586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7"/>
  </w:num>
  <w:num w:numId="5">
    <w:abstractNumId w:val="8"/>
  </w:num>
  <w:num w:numId="6">
    <w:abstractNumId w:val="5"/>
  </w:num>
  <w:num w:numId="7">
    <w:abstractNumId w:val="4"/>
  </w:num>
  <w:num w:numId="8">
    <w:abstractNumId w:val="3"/>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FF"/>
    <w:rsid w:val="00073F3D"/>
    <w:rsid w:val="0008272F"/>
    <w:rsid w:val="000A53C5"/>
    <w:rsid w:val="001034FF"/>
    <w:rsid w:val="001231E7"/>
    <w:rsid w:val="001938DC"/>
    <w:rsid w:val="001C760F"/>
    <w:rsid w:val="001D548C"/>
    <w:rsid w:val="001E61FF"/>
    <w:rsid w:val="001F2CF9"/>
    <w:rsid w:val="0020115F"/>
    <w:rsid w:val="00221356"/>
    <w:rsid w:val="00272B67"/>
    <w:rsid w:val="00284645"/>
    <w:rsid w:val="00291112"/>
    <w:rsid w:val="00294738"/>
    <w:rsid w:val="002C0CFF"/>
    <w:rsid w:val="002C3C3E"/>
    <w:rsid w:val="00375D5A"/>
    <w:rsid w:val="00390CAB"/>
    <w:rsid w:val="003F6571"/>
    <w:rsid w:val="00473654"/>
    <w:rsid w:val="004D2AE9"/>
    <w:rsid w:val="0050431D"/>
    <w:rsid w:val="005528D8"/>
    <w:rsid w:val="00565015"/>
    <w:rsid w:val="005D1614"/>
    <w:rsid w:val="005D1746"/>
    <w:rsid w:val="00614DA4"/>
    <w:rsid w:val="0063217C"/>
    <w:rsid w:val="006D6BDF"/>
    <w:rsid w:val="007223BC"/>
    <w:rsid w:val="00742C94"/>
    <w:rsid w:val="00765F42"/>
    <w:rsid w:val="00784C7A"/>
    <w:rsid w:val="00825C06"/>
    <w:rsid w:val="00874521"/>
    <w:rsid w:val="008C3001"/>
    <w:rsid w:val="008E36AA"/>
    <w:rsid w:val="00961DCD"/>
    <w:rsid w:val="00964E01"/>
    <w:rsid w:val="009E7B16"/>
    <w:rsid w:val="00A36C6B"/>
    <w:rsid w:val="00A460F8"/>
    <w:rsid w:val="00A62938"/>
    <w:rsid w:val="00A74A7E"/>
    <w:rsid w:val="00AB4E33"/>
    <w:rsid w:val="00B11462"/>
    <w:rsid w:val="00B63BA3"/>
    <w:rsid w:val="00B94E6E"/>
    <w:rsid w:val="00C2022A"/>
    <w:rsid w:val="00C23239"/>
    <w:rsid w:val="00CE1622"/>
    <w:rsid w:val="00D13803"/>
    <w:rsid w:val="00D902DB"/>
    <w:rsid w:val="00DB5401"/>
    <w:rsid w:val="00DF28BB"/>
    <w:rsid w:val="00E30267"/>
    <w:rsid w:val="00E41AAE"/>
    <w:rsid w:val="00E8779A"/>
    <w:rsid w:val="00EA7AE2"/>
    <w:rsid w:val="00FD741E"/>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E7126"/>
  <w15:chartTrackingRefBased/>
  <w15:docId w15:val="{4FFF9E8A-BFEF-49FC-ACC3-27AF0FCCF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284645"/>
    <w:pPr>
      <w:spacing w:after="0" w:line="240" w:lineRule="auto"/>
    </w:pPr>
  </w:style>
  <w:style w:type="paragraph" w:styleId="Odstavekseznama">
    <w:name w:val="List Paragraph"/>
    <w:basedOn w:val="Navaden"/>
    <w:uiPriority w:val="34"/>
    <w:qFormat/>
    <w:rsid w:val="00291112"/>
    <w:pPr>
      <w:ind w:left="720"/>
      <w:contextualSpacing/>
    </w:pPr>
  </w:style>
  <w:style w:type="character" w:styleId="Krepko">
    <w:name w:val="Strong"/>
    <w:uiPriority w:val="22"/>
    <w:qFormat/>
    <w:rsid w:val="00E8779A"/>
    <w:rPr>
      <w:b/>
      <w:bCs/>
    </w:rPr>
  </w:style>
  <w:style w:type="paragraph" w:styleId="Navadensplet">
    <w:name w:val="Normal (Web)"/>
    <w:basedOn w:val="Navaden"/>
    <w:uiPriority w:val="99"/>
    <w:semiHidden/>
    <w:unhideWhenUsed/>
    <w:rsid w:val="00390CA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owt-li-20">
    <w:name w:val="qowt-li-2_0"/>
    <w:basedOn w:val="Navaden"/>
    <w:rsid w:val="0050431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owt-li-00">
    <w:name w:val="qowt-li-0_0"/>
    <w:basedOn w:val="Navaden"/>
    <w:rsid w:val="0050431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owt-li-30">
    <w:name w:val="qowt-li-3_0"/>
    <w:basedOn w:val="Navaden"/>
    <w:rsid w:val="0050431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owt-li-10">
    <w:name w:val="qowt-li-1_0"/>
    <w:basedOn w:val="Navaden"/>
    <w:rsid w:val="0050431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owt-stl-odstavekseznama">
    <w:name w:val="qowt-stl-odstavekseznama"/>
    <w:basedOn w:val="Navaden"/>
    <w:rsid w:val="0050431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iperpovezava">
    <w:name w:val="Hyperlink"/>
    <w:basedOn w:val="Privzetapisavaodstavka"/>
    <w:uiPriority w:val="99"/>
    <w:unhideWhenUsed/>
    <w:rsid w:val="0050431D"/>
    <w:rPr>
      <w:color w:val="0000FF"/>
      <w:u w:val="single"/>
    </w:rPr>
  </w:style>
  <w:style w:type="paragraph" w:customStyle="1" w:styleId="artclass">
    <w:name w:val="artclass"/>
    <w:basedOn w:val="Navaden"/>
    <w:rsid w:val="00784C7A"/>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elamrea">
    <w:name w:val="Table Grid"/>
    <w:basedOn w:val="Navadnatabela"/>
    <w:uiPriority w:val="39"/>
    <w:rsid w:val="00A74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8C3001"/>
    <w:pPr>
      <w:tabs>
        <w:tab w:val="center" w:pos="4536"/>
        <w:tab w:val="right" w:pos="9072"/>
      </w:tabs>
      <w:spacing w:after="0" w:line="240" w:lineRule="auto"/>
    </w:pPr>
  </w:style>
  <w:style w:type="character" w:customStyle="1" w:styleId="GlavaZnak">
    <w:name w:val="Glava Znak"/>
    <w:basedOn w:val="Privzetapisavaodstavka"/>
    <w:link w:val="Glava"/>
    <w:uiPriority w:val="99"/>
    <w:rsid w:val="008C3001"/>
  </w:style>
  <w:style w:type="paragraph" w:styleId="Noga">
    <w:name w:val="footer"/>
    <w:basedOn w:val="Navaden"/>
    <w:link w:val="NogaZnak"/>
    <w:uiPriority w:val="99"/>
    <w:unhideWhenUsed/>
    <w:rsid w:val="008C3001"/>
    <w:pPr>
      <w:tabs>
        <w:tab w:val="center" w:pos="4536"/>
        <w:tab w:val="right" w:pos="9072"/>
      </w:tabs>
      <w:spacing w:after="0" w:line="240" w:lineRule="auto"/>
    </w:pPr>
  </w:style>
  <w:style w:type="character" w:customStyle="1" w:styleId="NogaZnak">
    <w:name w:val="Noga Znak"/>
    <w:basedOn w:val="Privzetapisavaodstavka"/>
    <w:link w:val="Noga"/>
    <w:uiPriority w:val="99"/>
    <w:rsid w:val="008C3001"/>
  </w:style>
  <w:style w:type="character" w:styleId="Nerazreenaomemba">
    <w:name w:val="Unresolved Mention"/>
    <w:basedOn w:val="Privzetapisavaodstavka"/>
    <w:uiPriority w:val="99"/>
    <w:semiHidden/>
    <w:unhideWhenUsed/>
    <w:rsid w:val="00082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57390">
      <w:bodyDiv w:val="1"/>
      <w:marLeft w:val="0"/>
      <w:marRight w:val="0"/>
      <w:marTop w:val="0"/>
      <w:marBottom w:val="0"/>
      <w:divBdr>
        <w:top w:val="none" w:sz="0" w:space="0" w:color="auto"/>
        <w:left w:val="none" w:sz="0" w:space="0" w:color="auto"/>
        <w:bottom w:val="none" w:sz="0" w:space="0" w:color="auto"/>
        <w:right w:val="none" w:sz="0" w:space="0" w:color="auto"/>
      </w:divBdr>
    </w:div>
    <w:div w:id="417019807">
      <w:bodyDiv w:val="1"/>
      <w:marLeft w:val="0"/>
      <w:marRight w:val="0"/>
      <w:marTop w:val="0"/>
      <w:marBottom w:val="0"/>
      <w:divBdr>
        <w:top w:val="none" w:sz="0" w:space="0" w:color="auto"/>
        <w:left w:val="none" w:sz="0" w:space="0" w:color="auto"/>
        <w:bottom w:val="none" w:sz="0" w:space="0" w:color="auto"/>
        <w:right w:val="none" w:sz="0" w:space="0" w:color="auto"/>
      </w:divBdr>
    </w:div>
    <w:div w:id="841899300">
      <w:bodyDiv w:val="1"/>
      <w:marLeft w:val="0"/>
      <w:marRight w:val="0"/>
      <w:marTop w:val="0"/>
      <w:marBottom w:val="0"/>
      <w:divBdr>
        <w:top w:val="none" w:sz="0" w:space="0" w:color="auto"/>
        <w:left w:val="none" w:sz="0" w:space="0" w:color="auto"/>
        <w:bottom w:val="none" w:sz="0" w:space="0" w:color="auto"/>
        <w:right w:val="none" w:sz="0" w:space="0" w:color="auto"/>
      </w:divBdr>
    </w:div>
    <w:div w:id="1066101060">
      <w:bodyDiv w:val="1"/>
      <w:marLeft w:val="0"/>
      <w:marRight w:val="0"/>
      <w:marTop w:val="0"/>
      <w:marBottom w:val="0"/>
      <w:divBdr>
        <w:top w:val="none" w:sz="0" w:space="0" w:color="auto"/>
        <w:left w:val="none" w:sz="0" w:space="0" w:color="auto"/>
        <w:bottom w:val="none" w:sz="0" w:space="0" w:color="auto"/>
        <w:right w:val="none" w:sz="0" w:space="0" w:color="auto"/>
      </w:divBdr>
    </w:div>
    <w:div w:id="1155294789">
      <w:bodyDiv w:val="1"/>
      <w:marLeft w:val="0"/>
      <w:marRight w:val="0"/>
      <w:marTop w:val="0"/>
      <w:marBottom w:val="0"/>
      <w:divBdr>
        <w:top w:val="none" w:sz="0" w:space="0" w:color="auto"/>
        <w:left w:val="none" w:sz="0" w:space="0" w:color="auto"/>
        <w:bottom w:val="none" w:sz="0" w:space="0" w:color="auto"/>
        <w:right w:val="none" w:sz="0" w:space="0" w:color="auto"/>
      </w:divBdr>
    </w:div>
    <w:div w:id="1289510797">
      <w:bodyDiv w:val="1"/>
      <w:marLeft w:val="0"/>
      <w:marRight w:val="0"/>
      <w:marTop w:val="0"/>
      <w:marBottom w:val="0"/>
      <w:divBdr>
        <w:top w:val="none" w:sz="0" w:space="0" w:color="auto"/>
        <w:left w:val="none" w:sz="0" w:space="0" w:color="auto"/>
        <w:bottom w:val="none" w:sz="0" w:space="0" w:color="auto"/>
        <w:right w:val="none" w:sz="0" w:space="0" w:color="auto"/>
      </w:divBdr>
    </w:div>
    <w:div w:id="1575624644">
      <w:bodyDiv w:val="1"/>
      <w:marLeft w:val="0"/>
      <w:marRight w:val="0"/>
      <w:marTop w:val="0"/>
      <w:marBottom w:val="0"/>
      <w:divBdr>
        <w:top w:val="none" w:sz="0" w:space="0" w:color="auto"/>
        <w:left w:val="none" w:sz="0" w:space="0" w:color="auto"/>
        <w:bottom w:val="none" w:sz="0" w:space="0" w:color="auto"/>
        <w:right w:val="none" w:sz="0" w:space="0" w:color="auto"/>
      </w:divBdr>
    </w:div>
    <w:div w:id="1755128903">
      <w:bodyDiv w:val="1"/>
      <w:marLeft w:val="0"/>
      <w:marRight w:val="0"/>
      <w:marTop w:val="0"/>
      <w:marBottom w:val="0"/>
      <w:divBdr>
        <w:top w:val="none" w:sz="0" w:space="0" w:color="auto"/>
        <w:left w:val="none" w:sz="0" w:space="0" w:color="auto"/>
        <w:bottom w:val="none" w:sz="0" w:space="0" w:color="auto"/>
        <w:right w:val="none" w:sz="0" w:space="0" w:color="auto"/>
      </w:divBdr>
    </w:div>
    <w:div w:id="1802382312">
      <w:bodyDiv w:val="1"/>
      <w:marLeft w:val="0"/>
      <w:marRight w:val="0"/>
      <w:marTop w:val="0"/>
      <w:marBottom w:val="0"/>
      <w:divBdr>
        <w:top w:val="none" w:sz="0" w:space="0" w:color="auto"/>
        <w:left w:val="none" w:sz="0" w:space="0" w:color="auto"/>
        <w:bottom w:val="none" w:sz="0" w:space="0" w:color="auto"/>
        <w:right w:val="none" w:sz="0" w:space="0" w:color="auto"/>
      </w:divBdr>
    </w:div>
    <w:div w:id="1825319250">
      <w:bodyDiv w:val="1"/>
      <w:marLeft w:val="0"/>
      <w:marRight w:val="0"/>
      <w:marTop w:val="0"/>
      <w:marBottom w:val="0"/>
      <w:divBdr>
        <w:top w:val="none" w:sz="0" w:space="0" w:color="auto"/>
        <w:left w:val="none" w:sz="0" w:space="0" w:color="auto"/>
        <w:bottom w:val="none" w:sz="0" w:space="0" w:color="auto"/>
        <w:right w:val="none" w:sz="0" w:space="0" w:color="auto"/>
      </w:divBdr>
    </w:div>
    <w:div w:id="1876892447">
      <w:bodyDiv w:val="1"/>
      <w:marLeft w:val="0"/>
      <w:marRight w:val="0"/>
      <w:marTop w:val="0"/>
      <w:marBottom w:val="0"/>
      <w:divBdr>
        <w:top w:val="none" w:sz="0" w:space="0" w:color="auto"/>
        <w:left w:val="none" w:sz="0" w:space="0" w:color="auto"/>
        <w:bottom w:val="none" w:sz="0" w:space="0" w:color="auto"/>
        <w:right w:val="none" w:sz="0" w:space="0" w:color="auto"/>
      </w:divBdr>
    </w:div>
    <w:div w:id="1938513217">
      <w:bodyDiv w:val="1"/>
      <w:marLeft w:val="0"/>
      <w:marRight w:val="0"/>
      <w:marTop w:val="0"/>
      <w:marBottom w:val="0"/>
      <w:divBdr>
        <w:top w:val="none" w:sz="0" w:space="0" w:color="auto"/>
        <w:left w:val="none" w:sz="0" w:space="0" w:color="auto"/>
        <w:bottom w:val="none" w:sz="0" w:space="0" w:color="auto"/>
        <w:right w:val="none" w:sz="0" w:space="0" w:color="auto"/>
      </w:divBdr>
    </w:div>
    <w:div w:id="2031643082">
      <w:bodyDiv w:val="1"/>
      <w:marLeft w:val="0"/>
      <w:marRight w:val="0"/>
      <w:marTop w:val="0"/>
      <w:marBottom w:val="0"/>
      <w:divBdr>
        <w:top w:val="none" w:sz="0" w:space="0" w:color="auto"/>
        <w:left w:val="none" w:sz="0" w:space="0" w:color="auto"/>
        <w:bottom w:val="none" w:sz="0" w:space="0" w:color="auto"/>
        <w:right w:val="none" w:sz="0" w:space="0" w:color="auto"/>
      </w:divBdr>
      <w:divsChild>
        <w:div w:id="1855653988">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8-01-4067/zakon-o-spremembah-zakona-o-minimalni-placi-zminp-b/" TargetMode="External"/><Relationship Id="rId13" Type="http://schemas.openxmlformats.org/officeDocument/2006/relationships/hyperlink" Target="http://www.petka.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ata.si/racunovodski-servis/enostavno-knjigovodstvo-paket-samostojni-podjetni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ta.si/racunovodski-servis/dvostavno-knjigovodstvo-za-mikro-podjetj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uradni-list.si/glasilo-uradni-list-rs/vsebina/2018-01-4067/zakon-o-spremembah-zakona-o-minimalni-placi-zminp-b/"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18-01-4067/zakon-o-spremembah-zakona-o-minimalni-placi-zminp-b/"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9965</Words>
  <Characters>56804</Characters>
  <Application>Microsoft Office Word</Application>
  <DocSecurity>0</DocSecurity>
  <Lines>473</Lines>
  <Paragraphs>133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Anka</dc:creator>
  <cp:keywords/>
  <dc:description/>
  <cp:lastModifiedBy>Matejka</cp:lastModifiedBy>
  <cp:revision>2</cp:revision>
  <cp:lastPrinted>2020-01-14T13:02:00Z</cp:lastPrinted>
  <dcterms:created xsi:type="dcterms:W3CDTF">2020-02-27T08:10:00Z</dcterms:created>
  <dcterms:modified xsi:type="dcterms:W3CDTF">2020-02-27T08:10:00Z</dcterms:modified>
</cp:coreProperties>
</file>